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540C" w14:textId="77777777" w:rsidR="00922222" w:rsidRPr="00C27867" w:rsidRDefault="00922222" w:rsidP="00DA2B40">
      <w:pPr>
        <w:spacing w:after="120" w:line="276" w:lineRule="auto"/>
        <w:rPr>
          <w:rFonts w:cs="Arial"/>
          <w:lang w:val="en-US"/>
        </w:rPr>
      </w:pPr>
    </w:p>
    <w:p w14:paraId="74C1CF79" w14:textId="77777777" w:rsidR="00604F43" w:rsidRPr="00C27867" w:rsidRDefault="00604F43" w:rsidP="00DA2B40">
      <w:pPr>
        <w:spacing w:after="120" w:line="276" w:lineRule="auto"/>
        <w:rPr>
          <w:rFonts w:cs="Arial"/>
          <w:lang w:val="en-US"/>
        </w:rPr>
      </w:pPr>
    </w:p>
    <w:p w14:paraId="16A1839D" w14:textId="77777777" w:rsidR="00F66E00" w:rsidRPr="00C27867" w:rsidRDefault="00F66E00" w:rsidP="00DA2B40">
      <w:pPr>
        <w:spacing w:after="120" w:line="276" w:lineRule="auto"/>
        <w:rPr>
          <w:rFonts w:cs="Arial"/>
          <w:lang w:val="en-US"/>
        </w:rPr>
      </w:pPr>
    </w:p>
    <w:p w14:paraId="1943CB0E" w14:textId="77777777" w:rsidR="00F66E00" w:rsidRPr="00C27867" w:rsidRDefault="00F66E00" w:rsidP="00DA2B40">
      <w:pPr>
        <w:spacing w:after="120" w:line="276" w:lineRule="auto"/>
        <w:rPr>
          <w:rFonts w:cs="Arial"/>
          <w:lang w:val="en-US"/>
        </w:rPr>
      </w:pPr>
    </w:p>
    <w:p w14:paraId="7C060C69" w14:textId="77777777" w:rsidR="00F66E00" w:rsidRPr="00C27867" w:rsidRDefault="00F66E00" w:rsidP="00DA2B40">
      <w:pPr>
        <w:spacing w:after="120" w:line="276" w:lineRule="auto"/>
        <w:rPr>
          <w:rFonts w:cs="Arial"/>
          <w:lang w:val="en-US"/>
        </w:rPr>
      </w:pPr>
    </w:p>
    <w:p w14:paraId="01A0FC04" w14:textId="77777777" w:rsidR="00F66E00" w:rsidRPr="00C27867" w:rsidRDefault="00F66E00" w:rsidP="00DA2B40">
      <w:pPr>
        <w:spacing w:after="120" w:line="276" w:lineRule="auto"/>
        <w:rPr>
          <w:rFonts w:cs="Arial"/>
          <w:lang w:val="en-US"/>
        </w:rPr>
      </w:pPr>
    </w:p>
    <w:p w14:paraId="387EBBAD" w14:textId="77777777" w:rsidR="00435FF4" w:rsidRPr="00C27867" w:rsidRDefault="00435FF4" w:rsidP="00DA2B40">
      <w:pPr>
        <w:spacing w:after="120" w:line="276" w:lineRule="auto"/>
        <w:rPr>
          <w:rFonts w:cs="Arial"/>
          <w:lang w:val="en-US"/>
        </w:rPr>
      </w:pPr>
    </w:p>
    <w:p w14:paraId="7D4EDC46" w14:textId="77777777" w:rsidR="00DF1547" w:rsidRPr="00C27867" w:rsidRDefault="00DF1547" w:rsidP="00DA2B40">
      <w:pPr>
        <w:spacing w:after="120" w:line="276" w:lineRule="auto"/>
        <w:rPr>
          <w:rFonts w:cs="Arial"/>
          <w:lang w:val="en-US"/>
        </w:rPr>
      </w:pPr>
    </w:p>
    <w:p w14:paraId="2C016B30" w14:textId="77777777" w:rsidR="00DF1547" w:rsidRPr="00C27867" w:rsidRDefault="00DF1547" w:rsidP="00DA2B40">
      <w:pPr>
        <w:spacing w:after="120" w:line="276" w:lineRule="auto"/>
        <w:rPr>
          <w:rFonts w:cs="Arial"/>
          <w:lang w:val="en-US"/>
        </w:rPr>
      </w:pPr>
    </w:p>
    <w:p w14:paraId="0FE3FB70" w14:textId="77777777" w:rsidR="00F66E00" w:rsidRPr="00C27867" w:rsidRDefault="00F66E00" w:rsidP="00DA2B40">
      <w:pPr>
        <w:spacing w:after="120" w:line="276" w:lineRule="auto"/>
        <w:rPr>
          <w:rFonts w:cs="Arial"/>
          <w:lang w:val="en-US"/>
        </w:rPr>
      </w:pPr>
    </w:p>
    <w:p w14:paraId="276F7386" w14:textId="6FB0A072" w:rsidR="002815BD" w:rsidRPr="00C27867" w:rsidRDefault="002520C9" w:rsidP="00DA2B40">
      <w:pPr>
        <w:spacing w:after="120" w:line="276" w:lineRule="auto"/>
        <w:jc w:val="center"/>
        <w:rPr>
          <w:rFonts w:cs="Arial"/>
          <w:lang w:val="en-US"/>
        </w:rPr>
      </w:pPr>
      <w:r w:rsidRPr="00C27867">
        <w:rPr>
          <w:rFonts w:cs="Arial"/>
          <w:b/>
          <w:bCs/>
          <w:sz w:val="28"/>
          <w:szCs w:val="28"/>
          <w:lang w:val="en-US"/>
        </w:rPr>
        <w:t xml:space="preserve">Call for </w:t>
      </w:r>
      <w:r w:rsidR="006A2639">
        <w:rPr>
          <w:rFonts w:cs="Arial"/>
          <w:b/>
          <w:bCs/>
          <w:sz w:val="28"/>
          <w:szCs w:val="28"/>
          <w:lang w:val="en-US"/>
        </w:rPr>
        <w:t>S</w:t>
      </w:r>
      <w:r w:rsidRPr="00C27867">
        <w:rPr>
          <w:rFonts w:cs="Arial"/>
          <w:b/>
          <w:bCs/>
          <w:sz w:val="28"/>
          <w:szCs w:val="28"/>
          <w:lang w:val="en-US"/>
        </w:rPr>
        <w:t xml:space="preserve">election of Financial Intermediary </w:t>
      </w:r>
    </w:p>
    <w:p w14:paraId="055F63D4" w14:textId="77777777" w:rsidR="00EB57A4" w:rsidRPr="00C27867" w:rsidRDefault="00EB57A4" w:rsidP="00DA2B40">
      <w:pPr>
        <w:spacing w:after="120" w:line="276" w:lineRule="auto"/>
        <w:jc w:val="center"/>
        <w:rPr>
          <w:rFonts w:cs="Arial"/>
          <w:lang w:val="en-US"/>
        </w:rPr>
      </w:pPr>
    </w:p>
    <w:p w14:paraId="1704A52B" w14:textId="77777777" w:rsidR="00EB57A4" w:rsidRPr="00C27867" w:rsidRDefault="00EB57A4" w:rsidP="00DA2B40">
      <w:pPr>
        <w:spacing w:after="120" w:line="276" w:lineRule="auto"/>
        <w:jc w:val="center"/>
        <w:rPr>
          <w:rFonts w:cs="Arial"/>
          <w:lang w:val="en-US"/>
        </w:rPr>
      </w:pPr>
    </w:p>
    <w:p w14:paraId="633EB729" w14:textId="77777777" w:rsidR="00EB57A4" w:rsidRPr="00C27867" w:rsidRDefault="00EB57A4" w:rsidP="00DA2B40">
      <w:pPr>
        <w:spacing w:after="120" w:line="276" w:lineRule="auto"/>
        <w:jc w:val="center"/>
        <w:rPr>
          <w:rFonts w:cs="Arial"/>
          <w:lang w:val="en-US"/>
        </w:rPr>
      </w:pPr>
    </w:p>
    <w:p w14:paraId="04F0D4EA" w14:textId="77777777" w:rsidR="00EB57A4" w:rsidRPr="00C27867" w:rsidRDefault="00EB57A4" w:rsidP="00DA2B40">
      <w:pPr>
        <w:spacing w:after="120" w:line="276" w:lineRule="auto"/>
        <w:jc w:val="center"/>
        <w:rPr>
          <w:rFonts w:cs="Arial"/>
          <w:lang w:val="en-US"/>
        </w:rPr>
      </w:pPr>
    </w:p>
    <w:p w14:paraId="69E1A919" w14:textId="77777777" w:rsidR="00EB57A4" w:rsidRPr="00C27867" w:rsidRDefault="00EB57A4" w:rsidP="00DA2B40">
      <w:pPr>
        <w:spacing w:after="120" w:line="276" w:lineRule="auto"/>
        <w:jc w:val="center"/>
        <w:rPr>
          <w:rFonts w:cs="Arial"/>
          <w:lang w:val="en-US"/>
        </w:rPr>
      </w:pPr>
    </w:p>
    <w:p w14:paraId="3EEA1CA8" w14:textId="77777777" w:rsidR="00EB57A4" w:rsidRPr="00C27867" w:rsidRDefault="00EB57A4" w:rsidP="00DA2B40">
      <w:pPr>
        <w:spacing w:after="120" w:line="276" w:lineRule="auto"/>
        <w:jc w:val="center"/>
        <w:rPr>
          <w:rFonts w:cs="Arial"/>
          <w:lang w:val="en-US"/>
        </w:rPr>
      </w:pPr>
    </w:p>
    <w:p w14:paraId="3F6F4EE3" w14:textId="77777777" w:rsidR="00EB57A4" w:rsidRPr="00C27867" w:rsidRDefault="00EB57A4" w:rsidP="00DA2B40">
      <w:pPr>
        <w:spacing w:after="120" w:line="276" w:lineRule="auto"/>
        <w:jc w:val="center"/>
        <w:rPr>
          <w:rFonts w:cs="Arial"/>
          <w:lang w:val="en-US"/>
        </w:rPr>
      </w:pPr>
    </w:p>
    <w:p w14:paraId="1E551744" w14:textId="77777777" w:rsidR="00EB57A4" w:rsidRPr="00C27867" w:rsidRDefault="00EB57A4" w:rsidP="00DA2B40">
      <w:pPr>
        <w:spacing w:after="120" w:line="276" w:lineRule="auto"/>
        <w:jc w:val="center"/>
        <w:rPr>
          <w:rFonts w:cs="Arial"/>
          <w:lang w:val="en-US"/>
        </w:rPr>
      </w:pPr>
    </w:p>
    <w:p w14:paraId="284AE83E" w14:textId="77777777" w:rsidR="00EB57A4" w:rsidRPr="00C27867" w:rsidRDefault="00EB57A4" w:rsidP="00DA2B40">
      <w:pPr>
        <w:spacing w:after="120" w:line="276" w:lineRule="auto"/>
        <w:jc w:val="center"/>
        <w:rPr>
          <w:rFonts w:cs="Arial"/>
          <w:lang w:val="en-US"/>
        </w:rPr>
      </w:pPr>
    </w:p>
    <w:p w14:paraId="3ECD748D" w14:textId="77777777" w:rsidR="00EB57A4" w:rsidRPr="00C27867" w:rsidRDefault="00EB57A4" w:rsidP="00DA2B40">
      <w:pPr>
        <w:spacing w:after="120" w:line="276" w:lineRule="auto"/>
        <w:jc w:val="center"/>
        <w:rPr>
          <w:rFonts w:cs="Arial"/>
          <w:lang w:val="en-US"/>
        </w:rPr>
      </w:pPr>
    </w:p>
    <w:p w14:paraId="06611326" w14:textId="77777777" w:rsidR="00EB57A4" w:rsidRPr="00C27867" w:rsidRDefault="00EB57A4" w:rsidP="00DA2B40">
      <w:pPr>
        <w:spacing w:after="120" w:line="276" w:lineRule="auto"/>
        <w:jc w:val="center"/>
        <w:rPr>
          <w:rFonts w:cs="Arial"/>
          <w:lang w:val="en-US"/>
        </w:rPr>
      </w:pPr>
    </w:p>
    <w:p w14:paraId="0411C11C" w14:textId="77777777" w:rsidR="00225FE4" w:rsidRPr="00C27867" w:rsidRDefault="00225FE4" w:rsidP="00DA2B40">
      <w:pPr>
        <w:spacing w:after="120" w:line="276" w:lineRule="auto"/>
        <w:jc w:val="center"/>
        <w:rPr>
          <w:rFonts w:cs="Arial"/>
          <w:lang w:val="en-US"/>
        </w:rPr>
      </w:pPr>
    </w:p>
    <w:p w14:paraId="3E8C2DCA" w14:textId="77777777" w:rsidR="00225FE4" w:rsidRPr="00C27867" w:rsidRDefault="00225FE4" w:rsidP="00DA2B40">
      <w:pPr>
        <w:spacing w:after="120" w:line="276" w:lineRule="auto"/>
        <w:jc w:val="center"/>
        <w:rPr>
          <w:rFonts w:cs="Arial"/>
          <w:lang w:val="en-US"/>
        </w:rPr>
      </w:pPr>
    </w:p>
    <w:p w14:paraId="09B69602" w14:textId="77777777" w:rsidR="00225FE4" w:rsidRPr="00C27867" w:rsidRDefault="00225FE4" w:rsidP="00DA2B40">
      <w:pPr>
        <w:spacing w:after="120" w:line="276" w:lineRule="auto"/>
        <w:jc w:val="center"/>
        <w:rPr>
          <w:rFonts w:cs="Arial"/>
          <w:lang w:val="en-US"/>
        </w:rPr>
      </w:pPr>
    </w:p>
    <w:p w14:paraId="3A582A1A" w14:textId="77777777" w:rsidR="00225FE4" w:rsidRPr="00C27867" w:rsidRDefault="00225FE4" w:rsidP="00DA2B40">
      <w:pPr>
        <w:spacing w:after="120" w:line="276" w:lineRule="auto"/>
        <w:jc w:val="center"/>
        <w:rPr>
          <w:rFonts w:cs="Arial"/>
          <w:lang w:val="en-US"/>
        </w:rPr>
      </w:pPr>
    </w:p>
    <w:p w14:paraId="3AEA2831" w14:textId="77777777" w:rsidR="00EB57A4" w:rsidRPr="00C27867" w:rsidRDefault="00EB57A4" w:rsidP="00DA2B40">
      <w:pPr>
        <w:spacing w:after="120" w:line="276" w:lineRule="auto"/>
        <w:jc w:val="center"/>
        <w:rPr>
          <w:rFonts w:cs="Arial"/>
          <w:lang w:val="en-US"/>
        </w:rPr>
      </w:pPr>
    </w:p>
    <w:p w14:paraId="0C3E8A48" w14:textId="77777777" w:rsidR="006939B7" w:rsidRPr="00C27867" w:rsidRDefault="006939B7" w:rsidP="00DA2B40">
      <w:pPr>
        <w:spacing w:after="120" w:line="276" w:lineRule="auto"/>
        <w:jc w:val="center"/>
        <w:rPr>
          <w:rFonts w:cs="Arial"/>
          <w:lang w:val="en-US"/>
        </w:rPr>
      </w:pPr>
    </w:p>
    <w:p w14:paraId="2CD64B6F" w14:textId="77777777" w:rsidR="006939B7" w:rsidRPr="00C27867" w:rsidRDefault="006939B7" w:rsidP="00DA2B40">
      <w:pPr>
        <w:spacing w:after="120" w:line="276" w:lineRule="auto"/>
        <w:jc w:val="center"/>
        <w:rPr>
          <w:rFonts w:cs="Arial"/>
          <w:lang w:val="en-US"/>
        </w:rPr>
      </w:pPr>
    </w:p>
    <w:p w14:paraId="1EECC5E7" w14:textId="77777777" w:rsidR="00EB57A4" w:rsidRPr="00C27867" w:rsidRDefault="00EB57A4" w:rsidP="00DA2B40">
      <w:pPr>
        <w:spacing w:after="120" w:line="276" w:lineRule="auto"/>
        <w:jc w:val="center"/>
        <w:rPr>
          <w:rFonts w:cs="Arial"/>
          <w:lang w:val="en-US"/>
        </w:rPr>
      </w:pPr>
    </w:p>
    <w:p w14:paraId="152525F0" w14:textId="77777777" w:rsidR="00EB57A4" w:rsidRPr="00C27867" w:rsidRDefault="00EB57A4" w:rsidP="00DA2B40">
      <w:pPr>
        <w:spacing w:after="120" w:line="276" w:lineRule="auto"/>
        <w:jc w:val="center"/>
        <w:rPr>
          <w:rFonts w:cs="Arial"/>
          <w:lang w:val="en-US"/>
        </w:rPr>
      </w:pPr>
    </w:p>
    <w:p w14:paraId="2B180700" w14:textId="47A7D5AE" w:rsidR="002815BD" w:rsidRPr="00C27867" w:rsidRDefault="002815BD" w:rsidP="00DA2B40">
      <w:pPr>
        <w:spacing w:after="120" w:line="276" w:lineRule="auto"/>
        <w:jc w:val="center"/>
        <w:rPr>
          <w:rFonts w:cs="Arial"/>
          <w:lang w:val="en-US"/>
        </w:rPr>
      </w:pPr>
      <w:r w:rsidRPr="00C27867">
        <w:rPr>
          <w:rFonts w:cs="Arial"/>
          <w:lang w:val="en-US"/>
        </w:rPr>
        <w:t xml:space="preserve">Zagreb, </w:t>
      </w:r>
      <w:r w:rsidR="006C0C68" w:rsidRPr="00C27867">
        <w:rPr>
          <w:rFonts w:cs="Arial"/>
          <w:lang w:val="en-US"/>
        </w:rPr>
        <w:t>May</w:t>
      </w:r>
      <w:r w:rsidR="00EE4A19" w:rsidRPr="00C27867">
        <w:rPr>
          <w:rFonts w:cs="Arial"/>
          <w:lang w:val="en-US"/>
        </w:rPr>
        <w:t xml:space="preserve"> </w:t>
      </w:r>
      <w:r w:rsidR="006849EE" w:rsidRPr="00C27867">
        <w:rPr>
          <w:rFonts w:cs="Arial"/>
          <w:lang w:val="en-US"/>
        </w:rPr>
        <w:t>202</w:t>
      </w:r>
      <w:r w:rsidR="00D74364" w:rsidRPr="00C27867">
        <w:rPr>
          <w:rFonts w:cs="Arial"/>
          <w:lang w:val="en-US"/>
        </w:rPr>
        <w:t>6</w:t>
      </w:r>
    </w:p>
    <w:p w14:paraId="4002CB26" w14:textId="77777777" w:rsidR="00E543DE" w:rsidRPr="00C27867" w:rsidRDefault="00E543DE" w:rsidP="00E543DE">
      <w:pPr>
        <w:rPr>
          <w:rFonts w:cs="Arial"/>
          <w:sz w:val="22"/>
          <w:lang w:val="en-US"/>
        </w:rPr>
      </w:pPr>
    </w:p>
    <w:p w14:paraId="51FC93BE" w14:textId="77777777" w:rsidR="00E01C4E" w:rsidRPr="00C27867" w:rsidRDefault="00E01C4E" w:rsidP="00E543DE">
      <w:pPr>
        <w:rPr>
          <w:rFonts w:cs="Arial"/>
          <w:sz w:val="22"/>
          <w:lang w:val="en-US"/>
        </w:rPr>
      </w:pPr>
    </w:p>
    <w:p w14:paraId="033F52B3" w14:textId="77777777" w:rsidR="00EB57A4" w:rsidRPr="00C27867" w:rsidRDefault="00EB57A4" w:rsidP="00E543DE">
      <w:pPr>
        <w:pStyle w:val="Heading1"/>
        <w:spacing w:after="120" w:line="276" w:lineRule="auto"/>
        <w:rPr>
          <w:rFonts w:cs="Arial"/>
          <w:sz w:val="22"/>
          <w:lang w:val="en-US"/>
        </w:rPr>
        <w:sectPr w:rsidR="00EB57A4" w:rsidRPr="00C27867" w:rsidSect="00B241B0">
          <w:headerReference w:type="default" r:id="rId11"/>
          <w:footerReference w:type="default" r:id="rId12"/>
          <w:headerReference w:type="first" r:id="rId13"/>
          <w:footerReference w:type="first" r:id="rId14"/>
          <w:pgSz w:w="11907" w:h="16840" w:code="9"/>
          <w:pgMar w:top="1440" w:right="1080" w:bottom="1440" w:left="1080" w:header="709" w:footer="567" w:gutter="0"/>
          <w:cols w:space="708"/>
          <w:docGrid w:linePitch="360"/>
        </w:sectPr>
      </w:pPr>
    </w:p>
    <w:bookmarkStart w:id="0" w:name="_Toc193374160" w:displacedByCustomXml="next"/>
    <w:sdt>
      <w:sdtPr>
        <w:rPr>
          <w:rFonts w:ascii="Arial" w:eastAsia="Calibri" w:hAnsi="Arial" w:cs="Times New Roman"/>
          <w:color w:val="auto"/>
          <w:sz w:val="20"/>
          <w:szCs w:val="22"/>
          <w:lang w:val="en-US" w:eastAsia="en-US"/>
        </w:rPr>
        <w:id w:val="-1638872275"/>
        <w:docPartObj>
          <w:docPartGallery w:val="Table of Contents"/>
          <w:docPartUnique/>
        </w:docPartObj>
      </w:sdtPr>
      <w:sdtEndPr>
        <w:rPr>
          <w:b/>
          <w:bCs/>
          <w:noProof/>
          <w:szCs w:val="20"/>
        </w:rPr>
      </w:sdtEndPr>
      <w:sdtContent>
        <w:p w14:paraId="618B8687" w14:textId="1BC8A8BD" w:rsidR="00A33C2A" w:rsidRPr="00270C33" w:rsidRDefault="00E37B60">
          <w:pPr>
            <w:pStyle w:val="TOCHeading"/>
            <w:rPr>
              <w:b/>
              <w:bCs/>
              <w:color w:val="auto"/>
              <w:lang w:val="en-US"/>
            </w:rPr>
          </w:pPr>
          <w:r w:rsidRPr="00270C33">
            <w:rPr>
              <w:b/>
              <w:bCs/>
              <w:color w:val="auto"/>
              <w:lang w:val="en-US"/>
            </w:rPr>
            <w:t>Content</w:t>
          </w:r>
        </w:p>
        <w:p w14:paraId="58E57A5A" w14:textId="0F0C9E4F" w:rsidR="00270C33" w:rsidRDefault="00A33C2A">
          <w:pPr>
            <w:pStyle w:val="TOC1"/>
            <w:rPr>
              <w:rFonts w:asciiTheme="minorHAnsi" w:eastAsiaTheme="minorEastAsia" w:hAnsiTheme="minorHAnsi" w:cstheme="minorBidi"/>
              <w:noProof/>
              <w:kern w:val="2"/>
              <w:sz w:val="24"/>
              <w:szCs w:val="24"/>
              <w:lang w:val="en-US"/>
              <w14:ligatures w14:val="standardContextual"/>
            </w:rPr>
          </w:pPr>
          <w:r w:rsidRPr="00C27867">
            <w:rPr>
              <w:lang w:val="en-US"/>
            </w:rPr>
            <w:fldChar w:fldCharType="begin"/>
          </w:r>
          <w:r w:rsidRPr="00C27867">
            <w:rPr>
              <w:lang w:val="en-US"/>
            </w:rPr>
            <w:instrText xml:space="preserve"> TOC \o "1-3" \h \z \u </w:instrText>
          </w:r>
          <w:r w:rsidRPr="00C27867">
            <w:rPr>
              <w:lang w:val="en-US"/>
            </w:rPr>
            <w:fldChar w:fldCharType="separate"/>
          </w:r>
          <w:hyperlink w:anchor="_Toc230164068" w:history="1">
            <w:r w:rsidR="00270C33" w:rsidRPr="00147F3D">
              <w:rPr>
                <w:rStyle w:val="Hyperlink"/>
                <w:rFonts w:cs="Arial"/>
                <w:noProof/>
                <w:lang w:val="en-US"/>
              </w:rPr>
              <w:t>DEFINITIONS</w:t>
            </w:r>
            <w:r w:rsidR="00270C33">
              <w:rPr>
                <w:noProof/>
                <w:webHidden/>
              </w:rPr>
              <w:tab/>
            </w:r>
            <w:r w:rsidR="00270C33">
              <w:rPr>
                <w:noProof/>
                <w:webHidden/>
              </w:rPr>
              <w:fldChar w:fldCharType="begin"/>
            </w:r>
            <w:r w:rsidR="00270C33">
              <w:rPr>
                <w:noProof/>
                <w:webHidden/>
              </w:rPr>
              <w:instrText xml:space="preserve"> PAGEREF _Toc230164068 \h </w:instrText>
            </w:r>
            <w:r w:rsidR="00270C33">
              <w:rPr>
                <w:noProof/>
                <w:webHidden/>
              </w:rPr>
            </w:r>
            <w:r w:rsidR="00270C33">
              <w:rPr>
                <w:noProof/>
                <w:webHidden/>
              </w:rPr>
              <w:fldChar w:fldCharType="separate"/>
            </w:r>
            <w:r w:rsidR="00270C33">
              <w:rPr>
                <w:noProof/>
                <w:webHidden/>
              </w:rPr>
              <w:t>2</w:t>
            </w:r>
            <w:r w:rsidR="00270C33">
              <w:rPr>
                <w:noProof/>
                <w:webHidden/>
              </w:rPr>
              <w:fldChar w:fldCharType="end"/>
            </w:r>
          </w:hyperlink>
        </w:p>
        <w:p w14:paraId="7693A216" w14:textId="1D6084FE" w:rsidR="00270C33" w:rsidRDefault="00270C33">
          <w:pPr>
            <w:pStyle w:val="TOC1"/>
            <w:rPr>
              <w:rFonts w:asciiTheme="minorHAnsi" w:eastAsiaTheme="minorEastAsia" w:hAnsiTheme="minorHAnsi" w:cstheme="minorBidi"/>
              <w:noProof/>
              <w:kern w:val="2"/>
              <w:sz w:val="24"/>
              <w:szCs w:val="24"/>
              <w:lang w:val="en-US"/>
              <w14:ligatures w14:val="standardContextual"/>
            </w:rPr>
          </w:pPr>
          <w:hyperlink w:anchor="_Toc230164069" w:history="1">
            <w:r w:rsidRPr="00147F3D">
              <w:rPr>
                <w:rStyle w:val="Hyperlink"/>
                <w:rFonts w:cs="Arial"/>
                <w:noProof/>
                <w:lang w:val="en-US"/>
              </w:rPr>
              <w:t>INTRODUCTION</w:t>
            </w:r>
            <w:r>
              <w:rPr>
                <w:noProof/>
                <w:webHidden/>
              </w:rPr>
              <w:tab/>
            </w:r>
            <w:r>
              <w:rPr>
                <w:noProof/>
                <w:webHidden/>
              </w:rPr>
              <w:fldChar w:fldCharType="begin"/>
            </w:r>
            <w:r>
              <w:rPr>
                <w:noProof/>
                <w:webHidden/>
              </w:rPr>
              <w:instrText xml:space="preserve"> PAGEREF _Toc230164069 \h </w:instrText>
            </w:r>
            <w:r>
              <w:rPr>
                <w:noProof/>
                <w:webHidden/>
              </w:rPr>
            </w:r>
            <w:r>
              <w:rPr>
                <w:noProof/>
                <w:webHidden/>
              </w:rPr>
              <w:fldChar w:fldCharType="separate"/>
            </w:r>
            <w:r>
              <w:rPr>
                <w:noProof/>
                <w:webHidden/>
              </w:rPr>
              <w:t>3</w:t>
            </w:r>
            <w:r>
              <w:rPr>
                <w:noProof/>
                <w:webHidden/>
              </w:rPr>
              <w:fldChar w:fldCharType="end"/>
            </w:r>
          </w:hyperlink>
        </w:p>
        <w:p w14:paraId="18BE2C91" w14:textId="56E16EBA" w:rsidR="00270C33" w:rsidRDefault="00270C33">
          <w:pPr>
            <w:pStyle w:val="TOC1"/>
            <w:rPr>
              <w:rFonts w:asciiTheme="minorHAnsi" w:eastAsiaTheme="minorEastAsia" w:hAnsiTheme="minorHAnsi" w:cstheme="minorBidi"/>
              <w:noProof/>
              <w:kern w:val="2"/>
              <w:sz w:val="24"/>
              <w:szCs w:val="24"/>
              <w:lang w:val="en-US"/>
              <w14:ligatures w14:val="standardContextual"/>
            </w:rPr>
          </w:pPr>
          <w:hyperlink w:anchor="_Toc230164070" w:history="1">
            <w:r w:rsidRPr="00147F3D">
              <w:rPr>
                <w:rStyle w:val="Hyperlink"/>
                <w:rFonts w:cs="Arial"/>
                <w:noProof/>
                <w:lang w:val="en-US"/>
              </w:rPr>
              <w:t>1.</w:t>
            </w:r>
            <w:r>
              <w:rPr>
                <w:rFonts w:asciiTheme="minorHAnsi" w:eastAsiaTheme="minorEastAsia" w:hAnsiTheme="minorHAnsi" w:cstheme="minorBidi"/>
                <w:noProof/>
                <w:kern w:val="2"/>
                <w:sz w:val="24"/>
                <w:szCs w:val="24"/>
                <w:lang w:val="en-US"/>
                <w14:ligatures w14:val="standardContextual"/>
              </w:rPr>
              <w:tab/>
            </w:r>
            <w:r w:rsidRPr="00147F3D">
              <w:rPr>
                <w:rStyle w:val="Hyperlink"/>
                <w:rFonts w:cs="Arial"/>
                <w:noProof/>
                <w:lang w:val="en-US"/>
              </w:rPr>
              <w:t>TERMS AND CONDITIONS OF THE PROGRAMME</w:t>
            </w:r>
            <w:r>
              <w:rPr>
                <w:noProof/>
                <w:webHidden/>
              </w:rPr>
              <w:tab/>
            </w:r>
            <w:r>
              <w:rPr>
                <w:noProof/>
                <w:webHidden/>
              </w:rPr>
              <w:fldChar w:fldCharType="begin"/>
            </w:r>
            <w:r>
              <w:rPr>
                <w:noProof/>
                <w:webHidden/>
              </w:rPr>
              <w:instrText xml:space="preserve"> PAGEREF _Toc230164070 \h </w:instrText>
            </w:r>
            <w:r>
              <w:rPr>
                <w:noProof/>
                <w:webHidden/>
              </w:rPr>
            </w:r>
            <w:r>
              <w:rPr>
                <w:noProof/>
                <w:webHidden/>
              </w:rPr>
              <w:fldChar w:fldCharType="separate"/>
            </w:r>
            <w:r>
              <w:rPr>
                <w:noProof/>
                <w:webHidden/>
              </w:rPr>
              <w:t>3</w:t>
            </w:r>
            <w:r>
              <w:rPr>
                <w:noProof/>
                <w:webHidden/>
              </w:rPr>
              <w:fldChar w:fldCharType="end"/>
            </w:r>
          </w:hyperlink>
        </w:p>
        <w:p w14:paraId="52C072D8" w14:textId="3D874A50" w:rsidR="00270C33" w:rsidRDefault="00270C33">
          <w:pPr>
            <w:pStyle w:val="TOC1"/>
            <w:rPr>
              <w:rFonts w:asciiTheme="minorHAnsi" w:eastAsiaTheme="minorEastAsia" w:hAnsiTheme="minorHAnsi" w:cstheme="minorBidi"/>
              <w:noProof/>
              <w:kern w:val="2"/>
              <w:sz w:val="24"/>
              <w:szCs w:val="24"/>
              <w:lang w:val="en-US"/>
              <w14:ligatures w14:val="standardContextual"/>
            </w:rPr>
          </w:pPr>
          <w:hyperlink w:anchor="_Toc230164071" w:history="1">
            <w:r w:rsidRPr="00147F3D">
              <w:rPr>
                <w:rStyle w:val="Hyperlink"/>
                <w:noProof/>
                <w:lang w:val="en-US"/>
              </w:rPr>
              <w:t>2.</w:t>
            </w:r>
            <w:r>
              <w:rPr>
                <w:rFonts w:asciiTheme="minorHAnsi" w:eastAsiaTheme="minorEastAsia" w:hAnsiTheme="minorHAnsi" w:cstheme="minorBidi"/>
                <w:noProof/>
                <w:kern w:val="2"/>
                <w:sz w:val="24"/>
                <w:szCs w:val="24"/>
                <w:lang w:val="en-US"/>
                <w14:ligatures w14:val="standardContextual"/>
              </w:rPr>
              <w:tab/>
            </w:r>
            <w:r w:rsidRPr="00147F3D">
              <w:rPr>
                <w:rStyle w:val="Hyperlink"/>
                <w:rFonts w:cs="Arial"/>
                <w:noProof/>
                <w:lang w:val="en-US"/>
              </w:rPr>
              <w:t>SUBMISSION OF INVESTMENT OPPORTUNITY</w:t>
            </w:r>
            <w:r>
              <w:rPr>
                <w:noProof/>
                <w:webHidden/>
              </w:rPr>
              <w:tab/>
            </w:r>
            <w:r>
              <w:rPr>
                <w:noProof/>
                <w:webHidden/>
              </w:rPr>
              <w:fldChar w:fldCharType="begin"/>
            </w:r>
            <w:r>
              <w:rPr>
                <w:noProof/>
                <w:webHidden/>
              </w:rPr>
              <w:instrText xml:space="preserve"> PAGEREF _Toc230164071 \h </w:instrText>
            </w:r>
            <w:r>
              <w:rPr>
                <w:noProof/>
                <w:webHidden/>
              </w:rPr>
            </w:r>
            <w:r>
              <w:rPr>
                <w:noProof/>
                <w:webHidden/>
              </w:rPr>
              <w:fldChar w:fldCharType="separate"/>
            </w:r>
            <w:r>
              <w:rPr>
                <w:noProof/>
                <w:webHidden/>
              </w:rPr>
              <w:t>6</w:t>
            </w:r>
            <w:r>
              <w:rPr>
                <w:noProof/>
                <w:webHidden/>
              </w:rPr>
              <w:fldChar w:fldCharType="end"/>
            </w:r>
          </w:hyperlink>
        </w:p>
        <w:p w14:paraId="3C029CD7" w14:textId="0B8933F0" w:rsidR="00270C33" w:rsidRDefault="00270C33">
          <w:pPr>
            <w:pStyle w:val="TOC1"/>
            <w:rPr>
              <w:rFonts w:asciiTheme="minorHAnsi" w:eastAsiaTheme="minorEastAsia" w:hAnsiTheme="minorHAnsi" w:cstheme="minorBidi"/>
              <w:noProof/>
              <w:kern w:val="2"/>
              <w:sz w:val="24"/>
              <w:szCs w:val="24"/>
              <w:lang w:val="en-US"/>
              <w14:ligatures w14:val="standardContextual"/>
            </w:rPr>
          </w:pPr>
          <w:hyperlink w:anchor="_Toc230164072" w:history="1">
            <w:r w:rsidRPr="00147F3D">
              <w:rPr>
                <w:rStyle w:val="Hyperlink"/>
                <w:rFonts w:cs="Arial"/>
                <w:noProof/>
                <w:lang w:val="en-US"/>
              </w:rPr>
              <w:t>3.</w:t>
            </w:r>
            <w:r>
              <w:rPr>
                <w:rFonts w:asciiTheme="minorHAnsi" w:eastAsiaTheme="minorEastAsia" w:hAnsiTheme="minorHAnsi" w:cstheme="minorBidi"/>
                <w:noProof/>
                <w:kern w:val="2"/>
                <w:sz w:val="24"/>
                <w:szCs w:val="24"/>
                <w:lang w:val="en-US"/>
                <w14:ligatures w14:val="standardContextual"/>
              </w:rPr>
              <w:tab/>
            </w:r>
            <w:r w:rsidRPr="00147F3D">
              <w:rPr>
                <w:rStyle w:val="Hyperlink"/>
                <w:rFonts w:cs="Arial"/>
                <w:noProof/>
                <w:lang w:val="en-US"/>
              </w:rPr>
              <w:t>SELECTION PROCESS</w:t>
            </w:r>
            <w:r>
              <w:rPr>
                <w:noProof/>
                <w:webHidden/>
              </w:rPr>
              <w:tab/>
            </w:r>
            <w:r>
              <w:rPr>
                <w:noProof/>
                <w:webHidden/>
              </w:rPr>
              <w:fldChar w:fldCharType="begin"/>
            </w:r>
            <w:r>
              <w:rPr>
                <w:noProof/>
                <w:webHidden/>
              </w:rPr>
              <w:instrText xml:space="preserve"> PAGEREF _Toc230164072 \h </w:instrText>
            </w:r>
            <w:r>
              <w:rPr>
                <w:noProof/>
                <w:webHidden/>
              </w:rPr>
            </w:r>
            <w:r>
              <w:rPr>
                <w:noProof/>
                <w:webHidden/>
              </w:rPr>
              <w:fldChar w:fldCharType="separate"/>
            </w:r>
            <w:r>
              <w:rPr>
                <w:noProof/>
                <w:webHidden/>
              </w:rPr>
              <w:t>7</w:t>
            </w:r>
            <w:r>
              <w:rPr>
                <w:noProof/>
                <w:webHidden/>
              </w:rPr>
              <w:fldChar w:fldCharType="end"/>
            </w:r>
          </w:hyperlink>
        </w:p>
        <w:p w14:paraId="4B47ABD0" w14:textId="197BEEEF" w:rsidR="00270C33" w:rsidRDefault="00270C33">
          <w:pPr>
            <w:pStyle w:val="TOC1"/>
            <w:rPr>
              <w:rFonts w:asciiTheme="minorHAnsi" w:eastAsiaTheme="minorEastAsia" w:hAnsiTheme="minorHAnsi" w:cstheme="minorBidi"/>
              <w:noProof/>
              <w:kern w:val="2"/>
              <w:sz w:val="24"/>
              <w:szCs w:val="24"/>
              <w:lang w:val="en-US"/>
              <w14:ligatures w14:val="standardContextual"/>
            </w:rPr>
          </w:pPr>
          <w:hyperlink w:anchor="_Toc230164073" w:history="1">
            <w:r w:rsidRPr="00147F3D">
              <w:rPr>
                <w:rStyle w:val="Hyperlink"/>
                <w:noProof/>
              </w:rPr>
              <w:t>Schedule</w:t>
            </w:r>
            <w:r w:rsidRPr="00147F3D">
              <w:rPr>
                <w:rStyle w:val="Hyperlink"/>
                <w:rFonts w:cs="Arial"/>
                <w:bCs/>
                <w:noProof/>
                <w:lang w:val="en-GB"/>
              </w:rPr>
              <w:t xml:space="preserve"> 1 Application Form</w:t>
            </w:r>
            <w:r>
              <w:rPr>
                <w:noProof/>
                <w:webHidden/>
              </w:rPr>
              <w:tab/>
            </w:r>
            <w:r>
              <w:rPr>
                <w:noProof/>
                <w:webHidden/>
              </w:rPr>
              <w:fldChar w:fldCharType="begin"/>
            </w:r>
            <w:r>
              <w:rPr>
                <w:noProof/>
                <w:webHidden/>
              </w:rPr>
              <w:instrText xml:space="preserve"> PAGEREF _Toc230164073 \h </w:instrText>
            </w:r>
            <w:r>
              <w:rPr>
                <w:noProof/>
                <w:webHidden/>
              </w:rPr>
            </w:r>
            <w:r>
              <w:rPr>
                <w:noProof/>
                <w:webHidden/>
              </w:rPr>
              <w:fldChar w:fldCharType="separate"/>
            </w:r>
            <w:r>
              <w:rPr>
                <w:noProof/>
                <w:webHidden/>
              </w:rPr>
              <w:t>9</w:t>
            </w:r>
            <w:r>
              <w:rPr>
                <w:noProof/>
                <w:webHidden/>
              </w:rPr>
              <w:fldChar w:fldCharType="end"/>
            </w:r>
          </w:hyperlink>
        </w:p>
        <w:p w14:paraId="17971DE3" w14:textId="463C80A4" w:rsidR="00270C33" w:rsidRDefault="00270C33">
          <w:pPr>
            <w:pStyle w:val="TOC2"/>
            <w:tabs>
              <w:tab w:val="right" w:leader="dot" w:pos="9737"/>
            </w:tabs>
            <w:rPr>
              <w:rFonts w:asciiTheme="minorHAnsi" w:eastAsiaTheme="minorEastAsia" w:hAnsiTheme="minorHAnsi" w:cstheme="minorBidi"/>
              <w:noProof/>
              <w:kern w:val="2"/>
              <w:sz w:val="24"/>
              <w:szCs w:val="24"/>
              <w:lang w:val="en-US"/>
              <w14:ligatures w14:val="standardContextual"/>
            </w:rPr>
          </w:pPr>
          <w:hyperlink w:anchor="_Toc230164074" w:history="1">
            <w:r w:rsidRPr="00147F3D">
              <w:rPr>
                <w:rStyle w:val="Hyperlink"/>
                <w:noProof/>
                <w:lang w:val="en-GB"/>
              </w:rPr>
              <w:t>STATEMENT OF APPLICANT</w:t>
            </w:r>
            <w:r>
              <w:rPr>
                <w:noProof/>
                <w:webHidden/>
              </w:rPr>
              <w:tab/>
            </w:r>
            <w:r>
              <w:rPr>
                <w:noProof/>
                <w:webHidden/>
              </w:rPr>
              <w:fldChar w:fldCharType="begin"/>
            </w:r>
            <w:r>
              <w:rPr>
                <w:noProof/>
                <w:webHidden/>
              </w:rPr>
              <w:instrText xml:space="preserve"> PAGEREF _Toc230164074 \h </w:instrText>
            </w:r>
            <w:r>
              <w:rPr>
                <w:noProof/>
                <w:webHidden/>
              </w:rPr>
            </w:r>
            <w:r>
              <w:rPr>
                <w:noProof/>
                <w:webHidden/>
              </w:rPr>
              <w:fldChar w:fldCharType="separate"/>
            </w:r>
            <w:r>
              <w:rPr>
                <w:noProof/>
                <w:webHidden/>
              </w:rPr>
              <w:t>9</w:t>
            </w:r>
            <w:r>
              <w:rPr>
                <w:noProof/>
                <w:webHidden/>
              </w:rPr>
              <w:fldChar w:fldCharType="end"/>
            </w:r>
          </w:hyperlink>
        </w:p>
        <w:p w14:paraId="1B624058" w14:textId="539F4DAA" w:rsidR="00270C33" w:rsidRDefault="00270C33">
          <w:pPr>
            <w:pStyle w:val="TOC2"/>
            <w:tabs>
              <w:tab w:val="right" w:leader="dot" w:pos="9737"/>
            </w:tabs>
            <w:rPr>
              <w:rFonts w:asciiTheme="minorHAnsi" w:eastAsiaTheme="minorEastAsia" w:hAnsiTheme="minorHAnsi" w:cstheme="minorBidi"/>
              <w:noProof/>
              <w:kern w:val="2"/>
              <w:sz w:val="24"/>
              <w:szCs w:val="24"/>
              <w:lang w:val="en-US"/>
              <w14:ligatures w14:val="standardContextual"/>
            </w:rPr>
          </w:pPr>
          <w:hyperlink w:anchor="_Toc230164075" w:history="1">
            <w:r w:rsidRPr="00147F3D">
              <w:rPr>
                <w:rStyle w:val="Hyperlink"/>
                <w:noProof/>
                <w:lang w:val="en-GB"/>
              </w:rPr>
              <w:t>DATA ON APPLICANT</w:t>
            </w:r>
            <w:r>
              <w:rPr>
                <w:noProof/>
                <w:webHidden/>
              </w:rPr>
              <w:tab/>
            </w:r>
            <w:r>
              <w:rPr>
                <w:noProof/>
                <w:webHidden/>
              </w:rPr>
              <w:fldChar w:fldCharType="begin"/>
            </w:r>
            <w:r>
              <w:rPr>
                <w:noProof/>
                <w:webHidden/>
              </w:rPr>
              <w:instrText xml:space="preserve"> PAGEREF _Toc230164075 \h </w:instrText>
            </w:r>
            <w:r>
              <w:rPr>
                <w:noProof/>
                <w:webHidden/>
              </w:rPr>
            </w:r>
            <w:r>
              <w:rPr>
                <w:noProof/>
                <w:webHidden/>
              </w:rPr>
              <w:fldChar w:fldCharType="separate"/>
            </w:r>
            <w:r>
              <w:rPr>
                <w:noProof/>
                <w:webHidden/>
              </w:rPr>
              <w:t>10</w:t>
            </w:r>
            <w:r>
              <w:rPr>
                <w:noProof/>
                <w:webHidden/>
              </w:rPr>
              <w:fldChar w:fldCharType="end"/>
            </w:r>
          </w:hyperlink>
        </w:p>
        <w:p w14:paraId="234B3042" w14:textId="63422DBB" w:rsidR="00270C33" w:rsidRDefault="00270C33">
          <w:pPr>
            <w:pStyle w:val="TOC2"/>
            <w:tabs>
              <w:tab w:val="right" w:leader="dot" w:pos="9737"/>
            </w:tabs>
            <w:rPr>
              <w:rFonts w:asciiTheme="minorHAnsi" w:eastAsiaTheme="minorEastAsia" w:hAnsiTheme="minorHAnsi" w:cstheme="minorBidi"/>
              <w:noProof/>
              <w:kern w:val="2"/>
              <w:sz w:val="24"/>
              <w:szCs w:val="24"/>
              <w:lang w:val="en-US"/>
              <w14:ligatures w14:val="standardContextual"/>
            </w:rPr>
          </w:pPr>
          <w:hyperlink w:anchor="_Toc230164076" w:history="1">
            <w:r w:rsidRPr="00147F3D">
              <w:rPr>
                <w:rStyle w:val="Hyperlink"/>
                <w:noProof/>
                <w:lang w:val="en-GB"/>
              </w:rPr>
              <w:t>DISCLAIMER AND ACCEPTANCE OF TERMS AND CONDITIONS</w:t>
            </w:r>
            <w:r>
              <w:rPr>
                <w:noProof/>
                <w:webHidden/>
              </w:rPr>
              <w:tab/>
            </w:r>
            <w:r>
              <w:rPr>
                <w:noProof/>
                <w:webHidden/>
              </w:rPr>
              <w:fldChar w:fldCharType="begin"/>
            </w:r>
            <w:r>
              <w:rPr>
                <w:noProof/>
                <w:webHidden/>
              </w:rPr>
              <w:instrText xml:space="preserve"> PAGEREF _Toc230164076 \h </w:instrText>
            </w:r>
            <w:r>
              <w:rPr>
                <w:noProof/>
                <w:webHidden/>
              </w:rPr>
            </w:r>
            <w:r>
              <w:rPr>
                <w:noProof/>
                <w:webHidden/>
              </w:rPr>
              <w:fldChar w:fldCharType="separate"/>
            </w:r>
            <w:r>
              <w:rPr>
                <w:noProof/>
                <w:webHidden/>
              </w:rPr>
              <w:t>11</w:t>
            </w:r>
            <w:r>
              <w:rPr>
                <w:noProof/>
                <w:webHidden/>
              </w:rPr>
              <w:fldChar w:fldCharType="end"/>
            </w:r>
          </w:hyperlink>
        </w:p>
        <w:p w14:paraId="168727F9" w14:textId="684E89F6" w:rsidR="00270C33" w:rsidRDefault="00270C33">
          <w:pPr>
            <w:pStyle w:val="TOC2"/>
            <w:tabs>
              <w:tab w:val="right" w:leader="dot" w:pos="9737"/>
            </w:tabs>
            <w:rPr>
              <w:rFonts w:asciiTheme="minorHAnsi" w:eastAsiaTheme="minorEastAsia" w:hAnsiTheme="minorHAnsi" w:cstheme="minorBidi"/>
              <w:noProof/>
              <w:kern w:val="2"/>
              <w:sz w:val="24"/>
              <w:szCs w:val="24"/>
              <w:lang w:val="en-US"/>
              <w14:ligatures w14:val="standardContextual"/>
            </w:rPr>
          </w:pPr>
          <w:hyperlink w:anchor="_Toc230164077" w:history="1">
            <w:r w:rsidRPr="00147F3D">
              <w:rPr>
                <w:rStyle w:val="Hyperlink"/>
                <w:noProof/>
                <w:lang w:val="en-GB"/>
              </w:rPr>
              <w:t>HBOR’s PERSONAL DATA CONFIDENTIALITY STATEMENT</w:t>
            </w:r>
            <w:r>
              <w:rPr>
                <w:noProof/>
                <w:webHidden/>
              </w:rPr>
              <w:tab/>
            </w:r>
            <w:r>
              <w:rPr>
                <w:noProof/>
                <w:webHidden/>
              </w:rPr>
              <w:fldChar w:fldCharType="begin"/>
            </w:r>
            <w:r>
              <w:rPr>
                <w:noProof/>
                <w:webHidden/>
              </w:rPr>
              <w:instrText xml:space="preserve"> PAGEREF _Toc230164077 \h </w:instrText>
            </w:r>
            <w:r>
              <w:rPr>
                <w:noProof/>
                <w:webHidden/>
              </w:rPr>
            </w:r>
            <w:r>
              <w:rPr>
                <w:noProof/>
                <w:webHidden/>
              </w:rPr>
              <w:fldChar w:fldCharType="separate"/>
            </w:r>
            <w:r>
              <w:rPr>
                <w:noProof/>
                <w:webHidden/>
              </w:rPr>
              <w:t>11</w:t>
            </w:r>
            <w:r>
              <w:rPr>
                <w:noProof/>
                <w:webHidden/>
              </w:rPr>
              <w:fldChar w:fldCharType="end"/>
            </w:r>
          </w:hyperlink>
        </w:p>
        <w:p w14:paraId="5A1546AF" w14:textId="76F439B7" w:rsidR="00270C33" w:rsidRDefault="00270C33">
          <w:pPr>
            <w:pStyle w:val="TOC1"/>
            <w:rPr>
              <w:rFonts w:asciiTheme="minorHAnsi" w:eastAsiaTheme="minorEastAsia" w:hAnsiTheme="minorHAnsi" w:cstheme="minorBidi"/>
              <w:noProof/>
              <w:kern w:val="2"/>
              <w:sz w:val="24"/>
              <w:szCs w:val="24"/>
              <w:lang w:val="en-US"/>
              <w14:ligatures w14:val="standardContextual"/>
            </w:rPr>
          </w:pPr>
          <w:hyperlink w:anchor="_Toc230164078" w:history="1">
            <w:r w:rsidRPr="00147F3D">
              <w:rPr>
                <w:rStyle w:val="Hyperlink"/>
                <w:noProof/>
              </w:rPr>
              <w:t>Schedule</w:t>
            </w:r>
            <w:r w:rsidRPr="00147F3D">
              <w:rPr>
                <w:rStyle w:val="Hyperlink"/>
                <w:noProof/>
                <w:lang w:val="en-US"/>
              </w:rPr>
              <w:t xml:space="preserve"> 2 Investment Opportunity Description</w:t>
            </w:r>
            <w:r>
              <w:rPr>
                <w:noProof/>
                <w:webHidden/>
              </w:rPr>
              <w:tab/>
            </w:r>
            <w:r>
              <w:rPr>
                <w:noProof/>
                <w:webHidden/>
              </w:rPr>
              <w:fldChar w:fldCharType="begin"/>
            </w:r>
            <w:r>
              <w:rPr>
                <w:noProof/>
                <w:webHidden/>
              </w:rPr>
              <w:instrText xml:space="preserve"> PAGEREF _Toc230164078 \h </w:instrText>
            </w:r>
            <w:r>
              <w:rPr>
                <w:noProof/>
                <w:webHidden/>
              </w:rPr>
            </w:r>
            <w:r>
              <w:rPr>
                <w:noProof/>
                <w:webHidden/>
              </w:rPr>
              <w:fldChar w:fldCharType="separate"/>
            </w:r>
            <w:r>
              <w:rPr>
                <w:noProof/>
                <w:webHidden/>
              </w:rPr>
              <w:t>12</w:t>
            </w:r>
            <w:r>
              <w:rPr>
                <w:noProof/>
                <w:webHidden/>
              </w:rPr>
              <w:fldChar w:fldCharType="end"/>
            </w:r>
          </w:hyperlink>
        </w:p>
        <w:p w14:paraId="7D458F7F" w14:textId="301671F7" w:rsidR="00270C33" w:rsidRDefault="00270C33">
          <w:pPr>
            <w:pStyle w:val="TOC2"/>
            <w:tabs>
              <w:tab w:val="right" w:leader="dot" w:pos="9737"/>
            </w:tabs>
            <w:rPr>
              <w:rFonts w:asciiTheme="minorHAnsi" w:eastAsiaTheme="minorEastAsia" w:hAnsiTheme="minorHAnsi" w:cstheme="minorBidi"/>
              <w:noProof/>
              <w:kern w:val="2"/>
              <w:sz w:val="24"/>
              <w:szCs w:val="24"/>
              <w:lang w:val="en-US"/>
              <w14:ligatures w14:val="standardContextual"/>
            </w:rPr>
          </w:pPr>
          <w:hyperlink w:anchor="_Toc230164079" w:history="1">
            <w:r w:rsidRPr="00147F3D">
              <w:rPr>
                <w:rStyle w:val="Hyperlink"/>
                <w:noProof/>
                <w:lang w:val="en-US"/>
              </w:rPr>
              <w:t>DESCRIPTION OF INVESTMENT OPPORTUNITY</w:t>
            </w:r>
            <w:r>
              <w:rPr>
                <w:noProof/>
                <w:webHidden/>
              </w:rPr>
              <w:tab/>
            </w:r>
            <w:r>
              <w:rPr>
                <w:noProof/>
                <w:webHidden/>
              </w:rPr>
              <w:fldChar w:fldCharType="begin"/>
            </w:r>
            <w:r>
              <w:rPr>
                <w:noProof/>
                <w:webHidden/>
              </w:rPr>
              <w:instrText xml:space="preserve"> PAGEREF _Toc230164079 \h </w:instrText>
            </w:r>
            <w:r>
              <w:rPr>
                <w:noProof/>
                <w:webHidden/>
              </w:rPr>
            </w:r>
            <w:r>
              <w:rPr>
                <w:noProof/>
                <w:webHidden/>
              </w:rPr>
              <w:fldChar w:fldCharType="separate"/>
            </w:r>
            <w:r>
              <w:rPr>
                <w:noProof/>
                <w:webHidden/>
              </w:rPr>
              <w:t>12</w:t>
            </w:r>
            <w:r>
              <w:rPr>
                <w:noProof/>
                <w:webHidden/>
              </w:rPr>
              <w:fldChar w:fldCharType="end"/>
            </w:r>
          </w:hyperlink>
        </w:p>
        <w:p w14:paraId="40B4C9B3" w14:textId="709EF8DD" w:rsidR="00A33C2A" w:rsidRPr="00C27867" w:rsidRDefault="00A33C2A">
          <w:pPr>
            <w:rPr>
              <w:lang w:val="en-US"/>
            </w:rPr>
          </w:pPr>
          <w:r w:rsidRPr="00C27867">
            <w:rPr>
              <w:b/>
              <w:bCs/>
              <w:noProof/>
              <w:lang w:val="en-US"/>
            </w:rPr>
            <w:fldChar w:fldCharType="end"/>
          </w:r>
        </w:p>
      </w:sdtContent>
    </w:sdt>
    <w:p w14:paraId="2CAD9B83" w14:textId="52CEFE35" w:rsidR="00B038F6" w:rsidRPr="00C27867" w:rsidRDefault="00B038F6">
      <w:pPr>
        <w:rPr>
          <w:rFonts w:eastAsiaTheme="majorEastAsia" w:cs="Arial"/>
          <w:b/>
          <w:sz w:val="22"/>
          <w:szCs w:val="32"/>
          <w:lang w:val="en-US"/>
        </w:rPr>
      </w:pPr>
      <w:r w:rsidRPr="00C27867">
        <w:rPr>
          <w:rFonts w:cs="Arial"/>
          <w:sz w:val="22"/>
          <w:lang w:val="en-US"/>
        </w:rPr>
        <w:br w:type="page"/>
      </w:r>
    </w:p>
    <w:p w14:paraId="16058406" w14:textId="7E7B909C" w:rsidR="00E543DE" w:rsidRPr="00034981" w:rsidRDefault="006B1AA5" w:rsidP="00D41BD5">
      <w:pPr>
        <w:pStyle w:val="Heading1"/>
        <w:spacing w:after="120" w:line="276" w:lineRule="auto"/>
        <w:jc w:val="both"/>
        <w:rPr>
          <w:rFonts w:cs="Arial"/>
          <w:sz w:val="22"/>
          <w:lang w:val="en-US"/>
        </w:rPr>
      </w:pPr>
      <w:bookmarkStart w:id="1" w:name="_Toc230164068"/>
      <w:bookmarkEnd w:id="0"/>
      <w:r w:rsidRPr="00034981">
        <w:rPr>
          <w:rFonts w:cs="Arial"/>
          <w:sz w:val="22"/>
          <w:lang w:val="en-US"/>
        </w:rPr>
        <w:lastRenderedPageBreak/>
        <w:t>DEFINITIONS</w:t>
      </w:r>
      <w:bookmarkEnd w:id="1"/>
    </w:p>
    <w:p w14:paraId="547B7B40" w14:textId="77777777" w:rsidR="00A701FC" w:rsidRPr="00C27867" w:rsidRDefault="00A701FC" w:rsidP="00D41BD5">
      <w:pPr>
        <w:spacing w:after="120" w:line="276" w:lineRule="auto"/>
        <w:jc w:val="both"/>
        <w:rPr>
          <w:rFonts w:cs="Arial"/>
          <w:highlight w:val="yellow"/>
          <w:lang w:val="en-US"/>
        </w:rPr>
      </w:pPr>
      <w:r w:rsidRPr="00C27867">
        <w:rPr>
          <w:rFonts w:cs="Arial"/>
          <w:b/>
          <w:bCs/>
          <w:lang w:val="en-US"/>
        </w:rPr>
        <w:t xml:space="preserve">Alternative Investment Fund (AIF) - </w:t>
      </w:r>
      <w:r w:rsidRPr="00C27867">
        <w:rPr>
          <w:rFonts w:cs="Arial"/>
          <w:lang w:val="en-US"/>
        </w:rPr>
        <w:t xml:space="preserve">an investment fund established with the purpose and intention of raising funds through a public or private offer to investors and investing those funds in accordance with a predetermined investment strategy and objective, solely for the benefit of the unit </w:t>
      </w:r>
      <w:proofErr w:type="gramStart"/>
      <w:r w:rsidRPr="00C27867">
        <w:rPr>
          <w:rFonts w:cs="Arial"/>
          <w:lang w:val="en-US"/>
        </w:rPr>
        <w:t>holders;</w:t>
      </w:r>
      <w:proofErr w:type="gramEnd"/>
    </w:p>
    <w:p w14:paraId="7B383467" w14:textId="35D5AB1D" w:rsidR="00D41BD5" w:rsidRPr="00D41BD5" w:rsidRDefault="005103A4" w:rsidP="00D41BD5">
      <w:pPr>
        <w:spacing w:after="120" w:line="276" w:lineRule="auto"/>
        <w:jc w:val="both"/>
        <w:rPr>
          <w:rFonts w:cs="Arial"/>
          <w:lang w:val="en-US"/>
        </w:rPr>
      </w:pPr>
      <w:r w:rsidRPr="00D22078">
        <w:rPr>
          <w:rFonts w:cs="Arial"/>
          <w:b/>
          <w:bCs/>
          <w:lang w:val="en-US"/>
        </w:rPr>
        <w:t xml:space="preserve">Management </w:t>
      </w:r>
      <w:r w:rsidR="000609A3">
        <w:rPr>
          <w:rFonts w:cs="Arial"/>
          <w:b/>
          <w:bCs/>
          <w:lang w:val="en-US"/>
        </w:rPr>
        <w:t>C</w:t>
      </w:r>
      <w:r w:rsidRPr="00D22078">
        <w:rPr>
          <w:rFonts w:cs="Arial"/>
          <w:b/>
          <w:bCs/>
          <w:lang w:val="en-US"/>
        </w:rPr>
        <w:t>ompany</w:t>
      </w:r>
      <w:r w:rsidR="00D41BD5" w:rsidRPr="00D22078">
        <w:rPr>
          <w:rFonts w:cs="Arial"/>
          <w:b/>
          <w:bCs/>
          <w:lang w:val="en-US"/>
        </w:rPr>
        <w:t xml:space="preserve"> (</w:t>
      </w:r>
      <w:r w:rsidRPr="00D22078">
        <w:rPr>
          <w:rFonts w:cs="Arial"/>
          <w:b/>
          <w:bCs/>
          <w:lang w:val="en-US"/>
        </w:rPr>
        <w:t>MC</w:t>
      </w:r>
      <w:r w:rsidR="00D41BD5" w:rsidRPr="00D22078">
        <w:rPr>
          <w:rFonts w:cs="Arial"/>
          <w:b/>
          <w:bCs/>
          <w:lang w:val="en-US"/>
        </w:rPr>
        <w:t>)</w:t>
      </w:r>
      <w:r w:rsidR="00D41BD5" w:rsidRPr="00D22078">
        <w:rPr>
          <w:rFonts w:cs="Arial"/>
          <w:lang w:val="en-US"/>
        </w:rPr>
        <w:t xml:space="preserve"> – A legal entity established in the Republic of Croatia which, based on an </w:t>
      </w:r>
      <w:proofErr w:type="spellStart"/>
      <w:r w:rsidR="00D41BD5" w:rsidRPr="00D22078">
        <w:rPr>
          <w:rFonts w:cs="Arial"/>
          <w:lang w:val="en-US"/>
        </w:rPr>
        <w:t>authorisation</w:t>
      </w:r>
      <w:proofErr w:type="spellEnd"/>
      <w:r w:rsidR="00D41BD5" w:rsidRPr="00D22078">
        <w:rPr>
          <w:rFonts w:cs="Arial"/>
          <w:lang w:val="en-US"/>
        </w:rPr>
        <w:t xml:space="preserve"> issued by the Croatian Financial Services Supervisory Agency, performs the activity of managing one or more AIFs, or a legal entity established in another EU Member State which, based on an </w:t>
      </w:r>
      <w:proofErr w:type="spellStart"/>
      <w:r w:rsidR="00D41BD5" w:rsidRPr="00D22078">
        <w:rPr>
          <w:rFonts w:cs="Arial"/>
          <w:lang w:val="en-US"/>
        </w:rPr>
        <w:t>authorisation</w:t>
      </w:r>
      <w:proofErr w:type="spellEnd"/>
      <w:r w:rsidR="00D41BD5" w:rsidRPr="00D22078">
        <w:rPr>
          <w:rFonts w:cs="Arial"/>
          <w:lang w:val="en-US"/>
        </w:rPr>
        <w:t xml:space="preserve"> of the competent authority of that Member State, performs the activity of managing one or more AIFs. It also includes another legal entity advising the </w:t>
      </w:r>
      <w:r w:rsidRPr="00D22078">
        <w:rPr>
          <w:rFonts w:cs="Arial"/>
          <w:lang w:val="en-US"/>
        </w:rPr>
        <w:t>Management company</w:t>
      </w:r>
      <w:r w:rsidR="00D41BD5" w:rsidRPr="00D22078">
        <w:rPr>
          <w:rFonts w:cs="Arial"/>
          <w:lang w:val="en-US"/>
        </w:rPr>
        <w:t xml:space="preserve"> or the </w:t>
      </w:r>
      <w:proofErr w:type="gramStart"/>
      <w:r w:rsidR="00D41BD5" w:rsidRPr="00D22078">
        <w:rPr>
          <w:rFonts w:cs="Arial"/>
          <w:lang w:val="en-US"/>
        </w:rPr>
        <w:t>AIF;</w:t>
      </w:r>
      <w:proofErr w:type="gramEnd"/>
    </w:p>
    <w:p w14:paraId="363F4B87" w14:textId="77777777" w:rsidR="00D41BD5" w:rsidRPr="00D41BD5" w:rsidRDefault="00D41BD5" w:rsidP="00D41BD5">
      <w:pPr>
        <w:spacing w:after="120" w:line="276" w:lineRule="auto"/>
        <w:jc w:val="both"/>
        <w:rPr>
          <w:rFonts w:cs="Arial"/>
          <w:lang w:val="en-US"/>
        </w:rPr>
      </w:pPr>
      <w:r w:rsidRPr="00D41BD5">
        <w:rPr>
          <w:rFonts w:cs="Arial"/>
          <w:b/>
          <w:bCs/>
          <w:lang w:val="en-US"/>
        </w:rPr>
        <w:t>EU</w:t>
      </w:r>
      <w:r w:rsidRPr="00D41BD5">
        <w:rPr>
          <w:rFonts w:cs="Arial"/>
          <w:lang w:val="en-US"/>
        </w:rPr>
        <w:t xml:space="preserve"> – European </w:t>
      </w:r>
      <w:proofErr w:type="gramStart"/>
      <w:r w:rsidRPr="00D41BD5">
        <w:rPr>
          <w:rFonts w:cs="Arial"/>
          <w:lang w:val="en-US"/>
        </w:rPr>
        <w:t>Union;</w:t>
      </w:r>
      <w:proofErr w:type="gramEnd"/>
    </w:p>
    <w:p w14:paraId="35415A7A" w14:textId="2769B2BC" w:rsidR="00D41BD5" w:rsidRPr="00D41BD5" w:rsidRDefault="00D41BD5" w:rsidP="00D41BD5">
      <w:pPr>
        <w:spacing w:after="120" w:line="276" w:lineRule="auto"/>
        <w:jc w:val="both"/>
        <w:rPr>
          <w:rFonts w:cs="Arial"/>
          <w:lang w:val="en-US"/>
        </w:rPr>
      </w:pPr>
      <w:r w:rsidRPr="00D41BD5">
        <w:rPr>
          <w:rFonts w:cs="Arial"/>
          <w:b/>
          <w:bCs/>
          <w:lang w:val="en-US"/>
        </w:rPr>
        <w:t>Financial Intermediary</w:t>
      </w:r>
      <w:r w:rsidRPr="00D41BD5">
        <w:rPr>
          <w:rFonts w:cs="Arial"/>
          <w:lang w:val="en-US"/>
        </w:rPr>
        <w:t xml:space="preserve"> – An AIF and/or a special purpose vehicle for the purpose of implementing investments in equity and quasi-equity financing of Final Beneficiaries. It also includes its </w:t>
      </w:r>
      <w:r w:rsidR="005103A4">
        <w:rPr>
          <w:rFonts w:cs="Arial"/>
          <w:lang w:val="en-US"/>
        </w:rPr>
        <w:t xml:space="preserve">Management </w:t>
      </w:r>
      <w:proofErr w:type="gramStart"/>
      <w:r w:rsidR="005103A4">
        <w:rPr>
          <w:rFonts w:cs="Arial"/>
          <w:lang w:val="en-US"/>
        </w:rPr>
        <w:t>company;</w:t>
      </w:r>
      <w:proofErr w:type="gramEnd"/>
    </w:p>
    <w:p w14:paraId="2738CB65" w14:textId="3B6F2AB1" w:rsidR="00D41BD5" w:rsidRPr="00D41BD5" w:rsidRDefault="00D41BD5" w:rsidP="00D41BD5">
      <w:pPr>
        <w:spacing w:after="120" w:line="276" w:lineRule="auto"/>
        <w:jc w:val="both"/>
        <w:rPr>
          <w:rFonts w:cs="Arial"/>
          <w:lang w:val="en-US"/>
        </w:rPr>
      </w:pPr>
      <w:r w:rsidRPr="00D41BD5">
        <w:rPr>
          <w:rFonts w:cs="Arial"/>
          <w:b/>
          <w:bCs/>
          <w:lang w:val="en-US"/>
        </w:rPr>
        <w:t>Final Beneficiary</w:t>
      </w:r>
      <w:r w:rsidRPr="00D41BD5">
        <w:rPr>
          <w:rFonts w:cs="Arial"/>
          <w:lang w:val="en-US"/>
        </w:rPr>
        <w:t xml:space="preserve"> – Companies in private or majority private ownership that belong to one of the investment stages: Start-up, Later stage venture, Growth capital, Replacement capital, Buyout, in accordance with the definition of investment stages under the Invest Europe</w:t>
      </w:r>
      <w:r w:rsidR="00FF296C">
        <w:rPr>
          <w:rStyle w:val="FootnoteReference"/>
          <w:rFonts w:cs="Arial"/>
          <w:lang w:val="en-US"/>
        </w:rPr>
        <w:footnoteReference w:id="2"/>
      </w:r>
      <w:r w:rsidRPr="00D41BD5">
        <w:rPr>
          <w:rFonts w:cs="Arial"/>
          <w:lang w:val="en-US"/>
        </w:rPr>
        <w:t xml:space="preserve"> </w:t>
      </w:r>
      <w:proofErr w:type="gramStart"/>
      <w:r w:rsidRPr="00D41BD5">
        <w:rPr>
          <w:rFonts w:cs="Arial"/>
          <w:lang w:val="en-US"/>
        </w:rPr>
        <w:t>methodology;</w:t>
      </w:r>
      <w:proofErr w:type="gramEnd"/>
    </w:p>
    <w:p w14:paraId="48DFA9B3" w14:textId="3AEFB742" w:rsidR="00D41BD5" w:rsidRPr="00D41BD5" w:rsidRDefault="00D41BD5" w:rsidP="00D41BD5">
      <w:pPr>
        <w:spacing w:after="120" w:line="276" w:lineRule="auto"/>
        <w:jc w:val="both"/>
        <w:rPr>
          <w:rFonts w:cs="Arial"/>
          <w:lang w:val="en-US"/>
        </w:rPr>
      </w:pPr>
      <w:r w:rsidRPr="00D41BD5">
        <w:rPr>
          <w:rFonts w:cs="Arial"/>
          <w:b/>
          <w:bCs/>
          <w:lang w:val="en-US"/>
        </w:rPr>
        <w:t>Investment Opportunity</w:t>
      </w:r>
      <w:r w:rsidRPr="00D41BD5">
        <w:rPr>
          <w:rFonts w:cs="Arial"/>
          <w:lang w:val="en-US"/>
        </w:rPr>
        <w:t xml:space="preserve"> – A proposal received from the </w:t>
      </w:r>
      <w:r w:rsidR="005103A4">
        <w:rPr>
          <w:rFonts w:cs="Arial"/>
          <w:lang w:val="en-US"/>
        </w:rPr>
        <w:t>Management company</w:t>
      </w:r>
      <w:r w:rsidR="005103A4" w:rsidRPr="00D41BD5">
        <w:rPr>
          <w:rFonts w:cs="Arial"/>
          <w:lang w:val="en-US"/>
        </w:rPr>
        <w:t xml:space="preserve"> </w:t>
      </w:r>
      <w:r w:rsidRPr="00D41BD5">
        <w:rPr>
          <w:rFonts w:cs="Arial"/>
          <w:lang w:val="en-US"/>
        </w:rPr>
        <w:t xml:space="preserve">(established or to be established) for investment in an AIF, which includes at least the following documents or information: a project description with a market overview, investment strategy and management structure (including </w:t>
      </w:r>
      <w:r w:rsidR="00396B33">
        <w:rPr>
          <w:rFonts w:cs="Arial"/>
          <w:lang w:val="en-US"/>
        </w:rPr>
        <w:t>C</w:t>
      </w:r>
      <w:r w:rsidR="00396B33" w:rsidRPr="00396B33">
        <w:rPr>
          <w:rFonts w:cs="Arial"/>
          <w:lang w:val="en-US"/>
        </w:rPr>
        <w:t xml:space="preserve">urriculum </w:t>
      </w:r>
      <w:r w:rsidR="00396B33">
        <w:rPr>
          <w:rFonts w:cs="Arial"/>
          <w:lang w:val="en-US"/>
        </w:rPr>
        <w:t>V</w:t>
      </w:r>
      <w:r w:rsidR="00396B33" w:rsidRPr="00396B33">
        <w:rPr>
          <w:rFonts w:cs="Arial"/>
          <w:lang w:val="en-US"/>
        </w:rPr>
        <w:t>itae</w:t>
      </w:r>
      <w:r w:rsidR="00396B33">
        <w:rPr>
          <w:rFonts w:cs="Arial"/>
          <w:lang w:val="en-US"/>
        </w:rPr>
        <w:t xml:space="preserve"> </w:t>
      </w:r>
      <w:r w:rsidRPr="00D41BD5">
        <w:rPr>
          <w:rFonts w:cs="Arial"/>
          <w:lang w:val="en-US"/>
        </w:rPr>
        <w:t xml:space="preserve">of </w:t>
      </w:r>
      <w:r w:rsidR="005103A4">
        <w:rPr>
          <w:rFonts w:cs="Arial"/>
          <w:lang w:val="en-US"/>
        </w:rPr>
        <w:t>MC</w:t>
      </w:r>
      <w:r w:rsidR="005103A4" w:rsidRPr="00D41BD5">
        <w:rPr>
          <w:rFonts w:cs="Arial"/>
          <w:lang w:val="en-US"/>
        </w:rPr>
        <w:t xml:space="preserve"> </w:t>
      </w:r>
      <w:r w:rsidRPr="00D41BD5">
        <w:rPr>
          <w:rFonts w:cs="Arial"/>
          <w:lang w:val="en-US"/>
        </w:rPr>
        <w:t>team members), key information</w:t>
      </w:r>
      <w:r w:rsidR="009868D4">
        <w:rPr>
          <w:rFonts w:cs="Arial"/>
          <w:lang w:val="en-US"/>
        </w:rPr>
        <w:t xml:space="preserve"> about the </w:t>
      </w:r>
      <w:r w:rsidRPr="00D41BD5">
        <w:rPr>
          <w:rFonts w:cs="Arial"/>
          <w:lang w:val="en-US"/>
        </w:rPr>
        <w:t>target</w:t>
      </w:r>
      <w:r w:rsidR="009868D4">
        <w:rPr>
          <w:rFonts w:cs="Arial"/>
          <w:lang w:val="en-US"/>
        </w:rPr>
        <w:t>ed</w:t>
      </w:r>
      <w:r w:rsidRPr="00D41BD5">
        <w:rPr>
          <w:rFonts w:cs="Arial"/>
          <w:lang w:val="en-US"/>
        </w:rPr>
        <w:t xml:space="preserve"> investment size (including information on participation of other investors), investment terms relating to implementation, </w:t>
      </w:r>
      <w:r w:rsidR="00356164">
        <w:rPr>
          <w:rFonts w:cs="Arial"/>
          <w:lang w:val="en-US"/>
        </w:rPr>
        <w:t>dynamics,</w:t>
      </w:r>
      <w:r w:rsidRPr="00D41BD5">
        <w:rPr>
          <w:rFonts w:cs="Arial"/>
          <w:lang w:val="en-US"/>
        </w:rPr>
        <w:t xml:space="preserve"> costs, and a financial plan;</w:t>
      </w:r>
    </w:p>
    <w:p w14:paraId="477E00DC" w14:textId="19563F56" w:rsidR="00D41BD5" w:rsidRPr="00D41BD5" w:rsidRDefault="00D41BD5" w:rsidP="00D41BD5">
      <w:pPr>
        <w:spacing w:after="120" w:line="276" w:lineRule="auto"/>
        <w:jc w:val="both"/>
        <w:rPr>
          <w:rFonts w:cs="Arial"/>
          <w:lang w:val="en-US"/>
        </w:rPr>
      </w:pPr>
      <w:r w:rsidRPr="00D41BD5">
        <w:rPr>
          <w:rFonts w:cs="Arial"/>
          <w:b/>
          <w:bCs/>
          <w:lang w:val="en-US"/>
        </w:rPr>
        <w:t xml:space="preserve">Investment </w:t>
      </w:r>
      <w:proofErr w:type="spellStart"/>
      <w:r w:rsidRPr="00D41BD5">
        <w:rPr>
          <w:rFonts w:cs="Arial"/>
          <w:b/>
          <w:bCs/>
          <w:lang w:val="en-US"/>
        </w:rPr>
        <w:t>Programme</w:t>
      </w:r>
      <w:proofErr w:type="spellEnd"/>
      <w:r w:rsidRPr="00D41BD5">
        <w:rPr>
          <w:rFonts w:cs="Arial"/>
          <w:b/>
          <w:bCs/>
          <w:lang w:val="en-US"/>
        </w:rPr>
        <w:t xml:space="preserve"> (or </w:t>
      </w:r>
      <w:proofErr w:type="spellStart"/>
      <w:r w:rsidRPr="00D41BD5">
        <w:rPr>
          <w:rFonts w:cs="Arial"/>
          <w:b/>
          <w:bCs/>
          <w:lang w:val="en-US"/>
        </w:rPr>
        <w:t>Programme</w:t>
      </w:r>
      <w:proofErr w:type="spellEnd"/>
      <w:r w:rsidRPr="00D41BD5">
        <w:rPr>
          <w:rFonts w:cs="Arial"/>
          <w:b/>
          <w:bCs/>
          <w:lang w:val="en-US"/>
        </w:rPr>
        <w:t>)</w:t>
      </w:r>
      <w:r w:rsidRPr="00D41BD5">
        <w:rPr>
          <w:rFonts w:cs="Arial"/>
          <w:lang w:val="en-US"/>
        </w:rPr>
        <w:t xml:space="preserve"> – Investment </w:t>
      </w:r>
      <w:proofErr w:type="spellStart"/>
      <w:r w:rsidRPr="00D41BD5">
        <w:rPr>
          <w:rFonts w:cs="Arial"/>
          <w:lang w:val="en-US"/>
        </w:rPr>
        <w:t>Programme</w:t>
      </w:r>
      <w:proofErr w:type="spellEnd"/>
      <w:r w:rsidRPr="00D41BD5">
        <w:rPr>
          <w:rFonts w:cs="Arial"/>
          <w:lang w:val="en-US"/>
        </w:rPr>
        <w:t xml:space="preserve"> for pre-IPO alternative investment </w:t>
      </w:r>
      <w:proofErr w:type="gramStart"/>
      <w:r w:rsidRPr="00D41BD5">
        <w:rPr>
          <w:rFonts w:cs="Arial"/>
          <w:lang w:val="en-US"/>
        </w:rPr>
        <w:t>fund;</w:t>
      </w:r>
      <w:proofErr w:type="gramEnd"/>
    </w:p>
    <w:p w14:paraId="2A481084" w14:textId="7726D9AC" w:rsidR="0037409E" w:rsidRPr="00D41BD5" w:rsidRDefault="00D41BD5" w:rsidP="00D41BD5">
      <w:pPr>
        <w:spacing w:after="120" w:line="276" w:lineRule="auto"/>
        <w:jc w:val="both"/>
        <w:rPr>
          <w:rFonts w:cs="Arial"/>
          <w:color w:val="EE0000"/>
          <w:lang w:val="en-US"/>
        </w:rPr>
      </w:pPr>
      <w:r w:rsidRPr="00D41BD5">
        <w:rPr>
          <w:rFonts w:cs="Arial"/>
          <w:b/>
          <w:bCs/>
          <w:lang w:val="en-US"/>
        </w:rPr>
        <w:t>Republic of Croatia (R</w:t>
      </w:r>
      <w:r>
        <w:rPr>
          <w:rFonts w:cs="Arial"/>
          <w:b/>
          <w:bCs/>
          <w:lang w:val="en-US"/>
        </w:rPr>
        <w:t>H</w:t>
      </w:r>
      <w:r w:rsidRPr="00D41BD5">
        <w:rPr>
          <w:rFonts w:cs="Arial"/>
          <w:b/>
          <w:bCs/>
          <w:lang w:val="en-US"/>
        </w:rPr>
        <w:t>)</w:t>
      </w:r>
      <w:r w:rsidRPr="00D41BD5">
        <w:rPr>
          <w:rFonts w:cs="Arial"/>
          <w:lang w:val="en-US"/>
        </w:rPr>
        <w:t xml:space="preserve"> – Republic of Croatia.</w:t>
      </w:r>
    </w:p>
    <w:p w14:paraId="0122771A" w14:textId="5F8B3718" w:rsidR="0004667C" w:rsidRPr="00C27867" w:rsidRDefault="0004667C" w:rsidP="0004667C">
      <w:pPr>
        <w:spacing w:after="120" w:line="276" w:lineRule="auto"/>
        <w:jc w:val="both"/>
        <w:rPr>
          <w:rFonts w:cs="Arial"/>
          <w:color w:val="EE0000"/>
          <w:lang w:val="en-US"/>
        </w:rPr>
      </w:pPr>
      <w:r w:rsidRPr="00C27867">
        <w:rPr>
          <w:rFonts w:cs="Arial"/>
          <w:color w:val="EE0000"/>
          <w:lang w:val="en-US"/>
        </w:rPr>
        <w:t xml:space="preserve"> </w:t>
      </w:r>
    </w:p>
    <w:p w14:paraId="4E062CAD" w14:textId="389FDBC4" w:rsidR="0004667C" w:rsidRPr="00C27867" w:rsidRDefault="0004667C" w:rsidP="00D930A9">
      <w:pPr>
        <w:spacing w:after="120" w:line="276" w:lineRule="auto"/>
        <w:jc w:val="both"/>
        <w:rPr>
          <w:rFonts w:cs="Arial"/>
          <w:color w:val="EE0000"/>
          <w:lang w:val="en-US"/>
        </w:rPr>
        <w:sectPr w:rsidR="0004667C" w:rsidRPr="00C27867" w:rsidSect="00B241B0">
          <w:pgSz w:w="11907" w:h="16840" w:code="9"/>
          <w:pgMar w:top="1440" w:right="1080" w:bottom="1440" w:left="1080" w:header="709" w:footer="567" w:gutter="0"/>
          <w:pgNumType w:start="1"/>
          <w:cols w:space="708"/>
          <w:titlePg/>
          <w:docGrid w:linePitch="360"/>
        </w:sectPr>
      </w:pPr>
    </w:p>
    <w:p w14:paraId="68BC3838" w14:textId="26D6F0D1" w:rsidR="009007F4" w:rsidRPr="00C27867" w:rsidRDefault="009B7DC3" w:rsidP="001F7469">
      <w:pPr>
        <w:pStyle w:val="Heading1"/>
        <w:spacing w:after="120" w:line="276" w:lineRule="auto"/>
        <w:rPr>
          <w:rFonts w:cs="Arial"/>
          <w:sz w:val="22"/>
          <w:lang w:val="en-US"/>
        </w:rPr>
      </w:pPr>
      <w:bookmarkStart w:id="2" w:name="_Toc230164069"/>
      <w:r w:rsidRPr="00C27867">
        <w:rPr>
          <w:rFonts w:cs="Arial"/>
          <w:sz w:val="22"/>
          <w:lang w:val="en-US"/>
        </w:rPr>
        <w:lastRenderedPageBreak/>
        <w:t>INTRO</w:t>
      </w:r>
      <w:r w:rsidR="00E2219D" w:rsidRPr="00C27867">
        <w:rPr>
          <w:rFonts w:cs="Arial"/>
          <w:sz w:val="22"/>
          <w:lang w:val="en-US"/>
        </w:rPr>
        <w:t>DUCTION</w:t>
      </w:r>
      <w:bookmarkEnd w:id="2"/>
    </w:p>
    <w:p w14:paraId="64704C54" w14:textId="3FF035A5" w:rsidR="00A02DAA" w:rsidRPr="00C27867" w:rsidRDefault="00A02DAA" w:rsidP="00334467">
      <w:pPr>
        <w:spacing w:before="60" w:afterLines="60" w:after="144" w:line="276" w:lineRule="auto"/>
        <w:jc w:val="both"/>
        <w:rPr>
          <w:rFonts w:cs="Arial"/>
          <w:lang w:val="en-US"/>
        </w:rPr>
      </w:pPr>
      <w:r w:rsidRPr="00C27867">
        <w:rPr>
          <w:rFonts w:cs="Arial"/>
          <w:lang w:val="en-US"/>
        </w:rPr>
        <w:t>The purpose of this Call for selection of</w:t>
      </w:r>
      <w:r w:rsidR="00047370">
        <w:rPr>
          <w:rFonts w:cs="Arial"/>
          <w:lang w:val="en-US"/>
        </w:rPr>
        <w:t xml:space="preserve"> </w:t>
      </w:r>
      <w:r w:rsidRPr="00C27867">
        <w:rPr>
          <w:rFonts w:cs="Arial"/>
          <w:lang w:val="en-US"/>
        </w:rPr>
        <w:t xml:space="preserve">Financial Intermediary (hereinafter: Call) </w:t>
      </w:r>
      <w:r w:rsidR="005E1301" w:rsidRPr="005E1301">
        <w:rPr>
          <w:rFonts w:cs="Arial"/>
          <w:lang w:val="en-US"/>
        </w:rPr>
        <w:t>is the selection of</w:t>
      </w:r>
      <w:r w:rsidR="005E1301">
        <w:rPr>
          <w:rFonts w:cs="Arial"/>
          <w:lang w:val="en-US"/>
        </w:rPr>
        <w:t xml:space="preserve"> </w:t>
      </w:r>
      <w:r w:rsidR="00C90B0E" w:rsidRPr="00C27867">
        <w:rPr>
          <w:rFonts w:cs="Arial"/>
          <w:lang w:val="en-US"/>
        </w:rPr>
        <w:t>Financial Intermediary</w:t>
      </w:r>
      <w:r w:rsidR="00334467" w:rsidRPr="00334467">
        <w:rPr>
          <w:rFonts w:cs="Arial"/>
          <w:lang w:val="en-US"/>
        </w:rPr>
        <w:t xml:space="preserve"> that will manage an alternative investment fund</w:t>
      </w:r>
      <w:r w:rsidR="00920013">
        <w:rPr>
          <w:rFonts w:cs="Arial"/>
          <w:lang w:val="en-US"/>
        </w:rPr>
        <w:t xml:space="preserve"> </w:t>
      </w:r>
      <w:r w:rsidR="00334467" w:rsidRPr="00334467">
        <w:rPr>
          <w:rFonts w:cs="Arial"/>
          <w:lang w:val="en-US"/>
        </w:rPr>
        <w:t xml:space="preserve">in accordance with the terms and conditions of the Investment </w:t>
      </w:r>
      <w:proofErr w:type="spellStart"/>
      <w:r w:rsidR="00334467" w:rsidRPr="00334467">
        <w:rPr>
          <w:rFonts w:cs="Arial"/>
          <w:lang w:val="en-US"/>
        </w:rPr>
        <w:t>Programme</w:t>
      </w:r>
      <w:proofErr w:type="spellEnd"/>
      <w:r w:rsidR="00334467" w:rsidRPr="00334467">
        <w:rPr>
          <w:rFonts w:cs="Arial"/>
          <w:lang w:val="en-US"/>
        </w:rPr>
        <w:t xml:space="preserve"> </w:t>
      </w:r>
      <w:r w:rsidRPr="00C27867">
        <w:rPr>
          <w:rFonts w:cs="Arial"/>
          <w:lang w:val="en-US"/>
        </w:rPr>
        <w:t xml:space="preserve">(hereinafter: </w:t>
      </w:r>
      <w:proofErr w:type="spellStart"/>
      <w:r w:rsidRPr="00C27867">
        <w:rPr>
          <w:rFonts w:cs="Arial"/>
          <w:lang w:val="en-US"/>
        </w:rPr>
        <w:t>Program</w:t>
      </w:r>
      <w:r w:rsidR="000F43A0">
        <w:rPr>
          <w:rFonts w:cs="Arial"/>
          <w:lang w:val="en-US"/>
        </w:rPr>
        <w:t>me</w:t>
      </w:r>
      <w:proofErr w:type="spellEnd"/>
      <w:r w:rsidRPr="00C27867">
        <w:rPr>
          <w:rFonts w:cs="Arial"/>
          <w:lang w:val="en-US"/>
        </w:rPr>
        <w:t>)</w:t>
      </w:r>
      <w:r w:rsidR="00443C7F">
        <w:rPr>
          <w:rStyle w:val="FootnoteReference"/>
          <w:rFonts w:cs="Arial"/>
          <w:lang w:val="en-US"/>
        </w:rPr>
        <w:footnoteReference w:id="3"/>
      </w:r>
      <w:r w:rsidRPr="00C27867">
        <w:rPr>
          <w:rFonts w:cs="Arial"/>
          <w:lang w:val="en-US"/>
        </w:rPr>
        <w:t xml:space="preserve"> as part of the implementation of the Strategic Framework for the Development of the Capital Market in the Republic of Croatia 2025</w:t>
      </w:r>
      <w:r w:rsidR="00206AC6">
        <w:rPr>
          <w:rFonts w:cs="Arial"/>
          <w:lang w:val="en-US"/>
        </w:rPr>
        <w:t xml:space="preserve"> - </w:t>
      </w:r>
      <w:r w:rsidRPr="00C27867">
        <w:rPr>
          <w:rFonts w:cs="Arial"/>
          <w:lang w:val="en-US"/>
        </w:rPr>
        <w:t>2030 (hereinafter: Strategic Framework).</w:t>
      </w:r>
    </w:p>
    <w:p w14:paraId="6ED0BFAB" w14:textId="25303F54" w:rsidR="00A1118E" w:rsidRPr="00D22078" w:rsidRDefault="00270A33" w:rsidP="00A1118E">
      <w:pPr>
        <w:pStyle w:val="paragraph"/>
        <w:spacing w:before="0" w:beforeAutospacing="0" w:after="120" w:afterAutospacing="0" w:line="276" w:lineRule="auto"/>
        <w:jc w:val="both"/>
        <w:textAlignment w:val="baseline"/>
        <w:rPr>
          <w:rFonts w:ascii="Arial" w:hAnsi="Arial" w:cs="Arial"/>
          <w:sz w:val="20"/>
          <w:szCs w:val="20"/>
          <w:lang w:val="en-US"/>
        </w:rPr>
      </w:pPr>
      <w:r w:rsidRPr="00C27867">
        <w:rPr>
          <w:rFonts w:ascii="Arial" w:hAnsi="Arial" w:cs="Arial"/>
          <w:sz w:val="20"/>
          <w:szCs w:val="20"/>
          <w:lang w:val="en-US"/>
        </w:rPr>
        <w:t xml:space="preserve">HBOR has provided funds (hereinafter: HBOR funds) for the implementation of the </w:t>
      </w:r>
      <w:proofErr w:type="spellStart"/>
      <w:r w:rsidRPr="0090512D">
        <w:rPr>
          <w:rFonts w:ascii="Arial" w:hAnsi="Arial" w:cs="Arial"/>
          <w:sz w:val="20"/>
          <w:szCs w:val="20"/>
          <w:lang w:val="en-US"/>
        </w:rPr>
        <w:t>Programme</w:t>
      </w:r>
      <w:proofErr w:type="spellEnd"/>
      <w:r w:rsidRPr="00C27867">
        <w:rPr>
          <w:rFonts w:ascii="Arial" w:hAnsi="Arial" w:cs="Arial"/>
          <w:sz w:val="20"/>
          <w:szCs w:val="20"/>
          <w:lang w:val="en-US"/>
        </w:rPr>
        <w:t xml:space="preserve"> in the amount of EUR 30</w:t>
      </w:r>
      <w:r w:rsidR="00D76E7C">
        <w:rPr>
          <w:rFonts w:ascii="Arial" w:hAnsi="Arial" w:cs="Arial"/>
          <w:sz w:val="20"/>
          <w:szCs w:val="20"/>
          <w:lang w:val="en-US"/>
        </w:rPr>
        <w:t>,</w:t>
      </w:r>
      <w:r w:rsidRPr="00C27867">
        <w:rPr>
          <w:rFonts w:ascii="Arial" w:hAnsi="Arial" w:cs="Arial"/>
          <w:sz w:val="20"/>
          <w:szCs w:val="20"/>
          <w:lang w:val="en-US"/>
        </w:rPr>
        <w:t>000</w:t>
      </w:r>
      <w:r w:rsidR="00D76E7C">
        <w:rPr>
          <w:rFonts w:ascii="Arial" w:hAnsi="Arial" w:cs="Arial"/>
          <w:sz w:val="20"/>
          <w:szCs w:val="20"/>
          <w:lang w:val="en-US"/>
        </w:rPr>
        <w:t>,</w:t>
      </w:r>
      <w:r w:rsidRPr="00C27867">
        <w:rPr>
          <w:rFonts w:ascii="Arial" w:hAnsi="Arial" w:cs="Arial"/>
          <w:sz w:val="20"/>
          <w:szCs w:val="20"/>
          <w:lang w:val="en-US"/>
        </w:rPr>
        <w:t>000</w:t>
      </w:r>
      <w:r w:rsidR="00764121" w:rsidRPr="00C27867">
        <w:rPr>
          <w:rFonts w:ascii="Arial" w:hAnsi="Arial" w:cs="Arial"/>
          <w:sz w:val="20"/>
          <w:szCs w:val="20"/>
          <w:lang w:val="en-US"/>
        </w:rPr>
        <w:t>. HBOR</w:t>
      </w:r>
      <w:r w:rsidR="009C179C" w:rsidRPr="00C27867">
        <w:rPr>
          <w:rFonts w:ascii="Arial" w:hAnsi="Arial" w:cs="Arial"/>
          <w:sz w:val="20"/>
          <w:szCs w:val="20"/>
          <w:lang w:val="en-US"/>
        </w:rPr>
        <w:t xml:space="preserve">'s </w:t>
      </w:r>
      <w:r w:rsidR="009C179C" w:rsidRPr="00D22078">
        <w:rPr>
          <w:rFonts w:ascii="Arial" w:hAnsi="Arial" w:cs="Arial"/>
          <w:sz w:val="20"/>
          <w:szCs w:val="20"/>
          <w:lang w:val="en-US"/>
        </w:rPr>
        <w:t xml:space="preserve">investment shall be made </w:t>
      </w:r>
      <w:r w:rsidRPr="00D22078">
        <w:rPr>
          <w:rFonts w:ascii="Arial" w:hAnsi="Arial" w:cs="Arial"/>
          <w:b/>
          <w:bCs/>
          <w:sz w:val="20"/>
          <w:szCs w:val="20"/>
          <w:lang w:val="en-US"/>
        </w:rPr>
        <w:t>exclusively through Financial Intermediar</w:t>
      </w:r>
      <w:r w:rsidR="00B678D2" w:rsidRPr="00D22078">
        <w:rPr>
          <w:rFonts w:ascii="Arial" w:hAnsi="Arial" w:cs="Arial"/>
          <w:b/>
          <w:bCs/>
          <w:sz w:val="20"/>
          <w:szCs w:val="20"/>
          <w:lang w:val="en-US"/>
        </w:rPr>
        <w:t>y</w:t>
      </w:r>
      <w:r w:rsidRPr="00D22078">
        <w:rPr>
          <w:rFonts w:ascii="Arial" w:hAnsi="Arial" w:cs="Arial"/>
          <w:sz w:val="20"/>
          <w:szCs w:val="20"/>
          <w:lang w:val="en-US"/>
        </w:rPr>
        <w:t xml:space="preserve">, i.e. </w:t>
      </w:r>
      <w:r w:rsidRPr="00D22078">
        <w:rPr>
          <w:rFonts w:ascii="Arial" w:hAnsi="Arial" w:cs="Arial"/>
          <w:b/>
          <w:bCs/>
          <w:sz w:val="20"/>
          <w:szCs w:val="20"/>
          <w:lang w:val="en-US"/>
        </w:rPr>
        <w:t>Alternative Investment Fund</w:t>
      </w:r>
      <w:r w:rsidRPr="00D22078">
        <w:rPr>
          <w:rFonts w:ascii="Arial" w:hAnsi="Arial" w:cs="Arial"/>
          <w:sz w:val="20"/>
          <w:szCs w:val="20"/>
          <w:lang w:val="en-US"/>
        </w:rPr>
        <w:t xml:space="preserve"> (hereinafter: AIFs), in its own name and for its own account. HBOR </w:t>
      </w:r>
      <w:proofErr w:type="gramStart"/>
      <w:r w:rsidR="00C64198" w:rsidRPr="00D22078">
        <w:rPr>
          <w:rFonts w:ascii="Arial" w:hAnsi="Arial" w:cs="Arial"/>
          <w:sz w:val="20"/>
          <w:szCs w:val="20"/>
          <w:lang w:val="en-US"/>
        </w:rPr>
        <w:t>retains</w:t>
      </w:r>
      <w:proofErr w:type="gramEnd"/>
      <w:r w:rsidR="00C64198" w:rsidRPr="00D22078">
        <w:rPr>
          <w:rFonts w:ascii="Arial" w:hAnsi="Arial" w:cs="Arial"/>
          <w:sz w:val="20"/>
          <w:szCs w:val="20"/>
          <w:lang w:val="en-US"/>
        </w:rPr>
        <w:t xml:space="preserve"> the right to change the sources of funding to be used for investment under the </w:t>
      </w:r>
      <w:proofErr w:type="spellStart"/>
      <w:r w:rsidR="00C64198" w:rsidRPr="00D22078">
        <w:rPr>
          <w:rFonts w:ascii="Arial" w:hAnsi="Arial" w:cs="Arial"/>
          <w:sz w:val="20"/>
          <w:szCs w:val="20"/>
          <w:lang w:val="en-US"/>
        </w:rPr>
        <w:t>Programme</w:t>
      </w:r>
      <w:proofErr w:type="spellEnd"/>
      <w:r w:rsidR="00C64198" w:rsidRPr="00D22078">
        <w:rPr>
          <w:rFonts w:ascii="Arial" w:hAnsi="Arial" w:cs="Arial"/>
          <w:sz w:val="20"/>
          <w:szCs w:val="20"/>
          <w:lang w:val="en-US"/>
        </w:rPr>
        <w:t xml:space="preserve">, and, in connection with this, to introduce additional requirements related to such funding. </w:t>
      </w:r>
      <w:r w:rsidR="002B653D" w:rsidRPr="00D22078">
        <w:rPr>
          <w:rFonts w:ascii="Arial" w:hAnsi="Arial" w:cs="Arial"/>
          <w:sz w:val="20"/>
          <w:szCs w:val="20"/>
          <w:lang w:val="en-US"/>
        </w:rPr>
        <w:t xml:space="preserve">Following </w:t>
      </w:r>
      <w:r w:rsidR="002B653D" w:rsidRPr="00D22078">
        <w:rPr>
          <w:rFonts w:ascii="Arial" w:hAnsi="Arial" w:cs="Arial"/>
          <w:i/>
          <w:iCs/>
          <w:sz w:val="20"/>
          <w:szCs w:val="20"/>
          <w:lang w:val="en-US"/>
        </w:rPr>
        <w:t>Step 2</w:t>
      </w:r>
      <w:r w:rsidR="002B653D" w:rsidRPr="00D22078">
        <w:rPr>
          <w:rFonts w:ascii="Arial" w:hAnsi="Arial" w:cs="Arial"/>
          <w:sz w:val="20"/>
          <w:szCs w:val="20"/>
          <w:lang w:val="en-US"/>
        </w:rPr>
        <w:t xml:space="preserve"> of the Selection Process (point 3 of this Call), HBOR will inform all Financial Intermediaries that have passed this step about the source of HBOR’s funds, as well as the relevant additional requirements.</w:t>
      </w:r>
    </w:p>
    <w:p w14:paraId="2D487DD8" w14:textId="77777777" w:rsidR="005447C0" w:rsidRPr="00E155CD" w:rsidRDefault="005447C0" w:rsidP="005447C0">
      <w:pPr>
        <w:spacing w:after="120" w:line="276" w:lineRule="auto"/>
        <w:jc w:val="both"/>
        <w:textAlignment w:val="baseline"/>
        <w:rPr>
          <w:rFonts w:eastAsia="Times New Roman" w:cs="Arial"/>
          <w:szCs w:val="20"/>
          <w:lang w:val="en-US" w:eastAsia="hr-HR"/>
        </w:rPr>
      </w:pPr>
      <w:r w:rsidRPr="00E155CD">
        <w:rPr>
          <w:rFonts w:eastAsia="Times New Roman" w:cs="Arial"/>
          <w:szCs w:val="20"/>
          <w:lang w:val="en-US" w:eastAsia="hr-HR"/>
        </w:rPr>
        <w:t xml:space="preserve">The objective of the </w:t>
      </w:r>
      <w:proofErr w:type="spellStart"/>
      <w:r w:rsidRPr="00E155CD">
        <w:rPr>
          <w:rFonts w:eastAsia="Times New Roman" w:cs="Arial"/>
          <w:szCs w:val="20"/>
          <w:lang w:val="en-US" w:eastAsia="hr-HR"/>
        </w:rPr>
        <w:t>Programme</w:t>
      </w:r>
      <w:proofErr w:type="spellEnd"/>
      <w:r w:rsidRPr="00E155CD">
        <w:rPr>
          <w:rFonts w:eastAsia="Times New Roman" w:cs="Arial"/>
          <w:szCs w:val="20"/>
          <w:lang w:val="en-US" w:eastAsia="hr-HR"/>
        </w:rPr>
        <w:t xml:space="preserve"> is</w:t>
      </w:r>
      <w:r>
        <w:rPr>
          <w:rFonts w:eastAsia="Times New Roman" w:cs="Arial"/>
          <w:szCs w:val="20"/>
          <w:lang w:val="en-US" w:eastAsia="hr-HR"/>
        </w:rPr>
        <w:t xml:space="preserve"> </w:t>
      </w:r>
      <w:r w:rsidRPr="000A50D5">
        <w:rPr>
          <w:rFonts w:eastAsia="Times New Roman" w:cs="Arial"/>
          <w:szCs w:val="20"/>
          <w:lang w:val="en-US" w:eastAsia="hr-HR"/>
        </w:rPr>
        <w:t>to enhance the availability of and diversify the funding sources for companies with high growth potential that are, in the medium term (three to five years), considering and are credible candidates for listing their securities on public capital markets</w:t>
      </w:r>
      <w:r>
        <w:rPr>
          <w:rFonts w:eastAsia="Times New Roman" w:cs="Arial"/>
          <w:szCs w:val="20"/>
          <w:lang w:val="en-US" w:eastAsia="hr-HR"/>
        </w:rPr>
        <w:t xml:space="preserve">. </w:t>
      </w:r>
      <w:r w:rsidRPr="00E155CD">
        <w:rPr>
          <w:rFonts w:cs="Arial"/>
          <w:szCs w:val="20"/>
          <w:lang w:val="en-US"/>
        </w:rPr>
        <w:t xml:space="preserve"> </w:t>
      </w:r>
    </w:p>
    <w:p w14:paraId="4B3EC9F1" w14:textId="77777777" w:rsidR="00BC7B9F" w:rsidRPr="00C27867" w:rsidRDefault="00BC7B9F" w:rsidP="00AF2EA6">
      <w:pPr>
        <w:spacing w:before="60" w:afterLines="60" w:after="144" w:line="276" w:lineRule="auto"/>
        <w:jc w:val="both"/>
        <w:rPr>
          <w:rFonts w:eastAsia="Times New Roman" w:cs="Arial"/>
          <w:szCs w:val="20"/>
          <w:lang w:val="en-US" w:eastAsia="hr-HR"/>
        </w:rPr>
      </w:pPr>
      <w:r w:rsidRPr="00C27867">
        <w:rPr>
          <w:rFonts w:eastAsia="Times New Roman" w:cs="Arial"/>
          <w:szCs w:val="20"/>
          <w:lang w:val="en-US" w:eastAsia="hr-HR"/>
        </w:rPr>
        <w:t xml:space="preserve">The emphasis is on investments that contribute to economic and social development, in line with sustainability goals and promotion of balanced and sustainable regional development of the Republic of Croatia.  </w:t>
      </w:r>
    </w:p>
    <w:p w14:paraId="7528D04F" w14:textId="77777777" w:rsidR="004334CE" w:rsidRPr="00C27867" w:rsidRDefault="004334CE" w:rsidP="00AF2EA6">
      <w:pPr>
        <w:spacing w:before="60" w:afterLines="60" w:after="144" w:line="276" w:lineRule="auto"/>
        <w:jc w:val="both"/>
        <w:rPr>
          <w:rFonts w:cs="Arial"/>
          <w:bCs/>
          <w:lang w:val="en-US"/>
        </w:rPr>
      </w:pPr>
      <w:r w:rsidRPr="00C27867">
        <w:rPr>
          <w:rFonts w:cs="Arial"/>
          <w:b/>
          <w:lang w:val="en-US"/>
        </w:rPr>
        <w:t xml:space="preserve">There is no legal entitlement of Applicants to receive an investment. </w:t>
      </w:r>
      <w:r w:rsidRPr="00C27867">
        <w:rPr>
          <w:rFonts w:cs="Arial"/>
          <w:bCs/>
          <w:lang w:val="en-US"/>
        </w:rPr>
        <w:t xml:space="preserve">HBOR evaluates each application separately and retains full discretion in determining the investment amount for each individual AIF. When making investment decisions, HBOR will take into consideration the strategic interests of HBOR and Republic of Croatia. </w:t>
      </w:r>
    </w:p>
    <w:p w14:paraId="7EDCD429" w14:textId="77777777" w:rsidR="005F6BA4" w:rsidRPr="00C27867" w:rsidRDefault="005F6BA4" w:rsidP="005F6BA4">
      <w:pPr>
        <w:spacing w:before="60" w:afterLines="60" w:after="144" w:line="276" w:lineRule="auto"/>
        <w:jc w:val="both"/>
        <w:rPr>
          <w:rFonts w:cs="Arial"/>
          <w:lang w:val="en-US"/>
        </w:rPr>
      </w:pPr>
      <w:r w:rsidRPr="00C27867">
        <w:rPr>
          <w:rFonts w:cs="Arial"/>
          <w:lang w:val="en-US"/>
        </w:rPr>
        <w:t xml:space="preserve">Applicants must fulfil the conditions of this Call and the </w:t>
      </w:r>
      <w:proofErr w:type="spellStart"/>
      <w:r w:rsidRPr="00C27867">
        <w:rPr>
          <w:rFonts w:cs="Arial"/>
          <w:lang w:val="en-US"/>
        </w:rPr>
        <w:t>Programme</w:t>
      </w:r>
      <w:proofErr w:type="spellEnd"/>
      <w:r w:rsidRPr="00C27867">
        <w:rPr>
          <w:rFonts w:cs="Arial"/>
          <w:lang w:val="en-US"/>
        </w:rPr>
        <w:t xml:space="preserve">. </w:t>
      </w:r>
    </w:p>
    <w:p w14:paraId="3179B370" w14:textId="77777777" w:rsidR="005F6BA4" w:rsidRPr="00C27867" w:rsidRDefault="005F6BA4" w:rsidP="005F6BA4">
      <w:pPr>
        <w:spacing w:before="60" w:afterLines="60" w:after="144" w:line="276" w:lineRule="auto"/>
        <w:jc w:val="both"/>
        <w:rPr>
          <w:rFonts w:cs="Arial"/>
          <w:lang w:val="en-US"/>
        </w:rPr>
      </w:pPr>
      <w:r w:rsidRPr="00C27867">
        <w:rPr>
          <w:rFonts w:cs="Arial"/>
          <w:lang w:val="en-US"/>
        </w:rPr>
        <w:t xml:space="preserve">HBOR reserves the right to change the terms and conditions stated in this Call, and all possible changes will be published on the website www.hbor.hr. </w:t>
      </w:r>
    </w:p>
    <w:p w14:paraId="00D709AD" w14:textId="57171516" w:rsidR="00262634" w:rsidRPr="00C27867" w:rsidRDefault="00DF7865" w:rsidP="00641866">
      <w:pPr>
        <w:spacing w:before="60" w:afterLines="60" w:after="144" w:line="276" w:lineRule="auto"/>
        <w:jc w:val="both"/>
        <w:rPr>
          <w:rFonts w:cs="Arial"/>
          <w:b/>
          <w:bCs/>
          <w:lang w:val="en-US"/>
        </w:rPr>
      </w:pPr>
      <w:r w:rsidRPr="00C27867">
        <w:rPr>
          <w:rFonts w:cs="Arial"/>
          <w:b/>
          <w:bCs/>
          <w:lang w:val="en-US"/>
        </w:rPr>
        <w:t xml:space="preserve">The </w:t>
      </w:r>
      <w:r w:rsidRPr="009A77CF">
        <w:rPr>
          <w:rFonts w:cs="Arial"/>
          <w:b/>
          <w:bCs/>
          <w:lang w:val="en-US"/>
        </w:rPr>
        <w:t>deadline for submitting Applications, i.e. Investment Opportunities</w:t>
      </w:r>
      <w:r w:rsidRPr="00C27867">
        <w:rPr>
          <w:rFonts w:cs="Arial"/>
          <w:b/>
          <w:bCs/>
          <w:lang w:val="en-US"/>
        </w:rPr>
        <w:t xml:space="preserve"> </w:t>
      </w:r>
      <w:r w:rsidR="006C6202" w:rsidRPr="00C27867">
        <w:rPr>
          <w:rFonts w:cs="Arial"/>
          <w:b/>
          <w:bCs/>
          <w:lang w:val="en-US"/>
        </w:rPr>
        <w:t>is</w:t>
      </w:r>
      <w:r w:rsidRPr="00C27867">
        <w:rPr>
          <w:rFonts w:cs="Arial"/>
          <w:b/>
          <w:bCs/>
          <w:lang w:val="en-US"/>
        </w:rPr>
        <w:t xml:space="preserve"> 31 August 2026.</w:t>
      </w:r>
    </w:p>
    <w:p w14:paraId="488E9E09" w14:textId="77777777" w:rsidR="00DF7865" w:rsidRPr="00C27867" w:rsidRDefault="00DF7865" w:rsidP="00641866">
      <w:pPr>
        <w:spacing w:before="60" w:afterLines="60" w:after="144" w:line="276" w:lineRule="auto"/>
        <w:jc w:val="both"/>
        <w:rPr>
          <w:rFonts w:cs="Arial"/>
          <w:b/>
          <w:bCs/>
          <w:color w:val="EE0000"/>
          <w:lang w:val="en-US"/>
        </w:rPr>
      </w:pPr>
    </w:p>
    <w:p w14:paraId="05D66E6D" w14:textId="118FCE2B" w:rsidR="003B1B50" w:rsidRPr="00C27867" w:rsidRDefault="004413B5" w:rsidP="00E94239">
      <w:pPr>
        <w:pStyle w:val="Heading1"/>
        <w:numPr>
          <w:ilvl w:val="0"/>
          <w:numId w:val="1"/>
        </w:numPr>
        <w:spacing w:after="120" w:line="276" w:lineRule="auto"/>
        <w:rPr>
          <w:rFonts w:cs="Arial"/>
          <w:sz w:val="22"/>
          <w:lang w:val="en-US"/>
        </w:rPr>
      </w:pPr>
      <w:bookmarkStart w:id="3" w:name="_Toc230164070"/>
      <w:r w:rsidRPr="00C27867">
        <w:rPr>
          <w:rFonts w:cs="Arial"/>
          <w:sz w:val="22"/>
          <w:lang w:val="en-US"/>
        </w:rPr>
        <w:t>TERMS AND CONDITIONS OF THE PROGRAM</w:t>
      </w:r>
      <w:r w:rsidR="00B55ED3">
        <w:rPr>
          <w:rFonts w:cs="Arial"/>
          <w:sz w:val="22"/>
          <w:lang w:val="en-US"/>
        </w:rPr>
        <w:t>M</w:t>
      </w:r>
      <w:r w:rsidRPr="00C27867">
        <w:rPr>
          <w:rFonts w:cs="Arial"/>
          <w:sz w:val="22"/>
          <w:lang w:val="en-US"/>
        </w:rPr>
        <w:t>E</w:t>
      </w:r>
      <w:bookmarkEnd w:id="3"/>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27"/>
        <w:gridCol w:w="7620"/>
      </w:tblGrid>
      <w:tr w:rsidR="002C00AC" w:rsidRPr="00C27867" w14:paraId="3E40BB24" w14:textId="77777777" w:rsidTr="00B1162E">
        <w:trPr>
          <w:trHeight w:val="300"/>
        </w:trPr>
        <w:tc>
          <w:tcPr>
            <w:tcW w:w="5000" w:type="pct"/>
            <w:gridSpan w:val="2"/>
            <w:tcBorders>
              <w:top w:val="nil"/>
              <w:bottom w:val="single" w:sz="4" w:space="0" w:color="auto"/>
            </w:tcBorders>
            <w:shd w:val="clear" w:color="auto" w:fill="F2F2F2" w:themeFill="background1" w:themeFillShade="F2"/>
          </w:tcPr>
          <w:p w14:paraId="64D443FA" w14:textId="6A477ECF" w:rsidR="002C00AC" w:rsidRPr="00C27867" w:rsidRDefault="00FA7AB8" w:rsidP="00B1162E">
            <w:pPr>
              <w:pStyle w:val="paragraph"/>
              <w:spacing w:before="60" w:beforeAutospacing="0" w:after="60" w:afterAutospacing="0" w:line="276" w:lineRule="auto"/>
              <w:jc w:val="both"/>
              <w:rPr>
                <w:rFonts w:asciiTheme="minorBidi" w:hAnsiTheme="minorBidi" w:cstheme="minorBidi"/>
                <w:b/>
                <w:bCs/>
                <w:lang w:val="en-US"/>
              </w:rPr>
            </w:pPr>
            <w:r w:rsidRPr="00C27867">
              <w:rPr>
                <w:rStyle w:val="normaltextrun"/>
                <w:rFonts w:asciiTheme="minorBidi" w:eastAsiaTheme="majorEastAsia" w:hAnsiTheme="minorBidi" w:cstheme="minorBidi"/>
                <w:bCs/>
                <w:lang w:val="en-US"/>
              </w:rPr>
              <w:t>TERMS AND CONDITIONS OF INVESTMENT</w:t>
            </w:r>
          </w:p>
        </w:tc>
      </w:tr>
      <w:tr w:rsidR="002C00AC" w:rsidRPr="00C27867" w14:paraId="2D0C9AE2" w14:textId="77777777" w:rsidTr="00367463">
        <w:trPr>
          <w:trHeight w:val="300"/>
        </w:trPr>
        <w:tc>
          <w:tcPr>
            <w:tcW w:w="1091" w:type="pct"/>
            <w:tcBorders>
              <w:top w:val="single" w:sz="4" w:space="0" w:color="auto"/>
              <w:bottom w:val="single" w:sz="4" w:space="0" w:color="auto"/>
            </w:tcBorders>
            <w:hideMark/>
          </w:tcPr>
          <w:p w14:paraId="54582E71" w14:textId="762A2C4A" w:rsidR="002C00AC" w:rsidRPr="00C27867" w:rsidRDefault="008F597B" w:rsidP="002C00AC">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Financial Intermediary</w:t>
            </w:r>
            <w:r w:rsidR="002C00AC" w:rsidRPr="00C27867">
              <w:rPr>
                <w:rFonts w:ascii="Arial" w:hAnsi="Arial" w:cs="Arial"/>
                <w:b/>
                <w:bCs/>
                <w:sz w:val="18"/>
                <w:szCs w:val="18"/>
                <w:lang w:val="en-US"/>
              </w:rPr>
              <w:t xml:space="preserve"> </w:t>
            </w:r>
          </w:p>
        </w:tc>
        <w:tc>
          <w:tcPr>
            <w:tcW w:w="3909" w:type="pct"/>
            <w:tcBorders>
              <w:top w:val="single" w:sz="4" w:space="0" w:color="auto"/>
              <w:bottom w:val="single" w:sz="4" w:space="0" w:color="auto"/>
            </w:tcBorders>
            <w:hideMark/>
          </w:tcPr>
          <w:p w14:paraId="55FA8123" w14:textId="4EBE3F3C" w:rsidR="002C00AC" w:rsidRPr="00C27867" w:rsidRDefault="00AA6E82"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Eligible</w:t>
            </w:r>
            <w:r w:rsidR="002C00AC" w:rsidRPr="00C27867">
              <w:rPr>
                <w:rFonts w:ascii="Arial" w:hAnsi="Arial" w:cs="Arial"/>
                <w:sz w:val="18"/>
                <w:szCs w:val="18"/>
                <w:lang w:val="en-US"/>
              </w:rPr>
              <w:t xml:space="preserve"> AIF</w:t>
            </w:r>
            <w:r w:rsidR="009D03D6">
              <w:rPr>
                <w:rFonts w:ascii="Arial" w:hAnsi="Arial" w:cs="Arial"/>
                <w:sz w:val="18"/>
                <w:szCs w:val="18"/>
                <w:lang w:val="en-US"/>
              </w:rPr>
              <w:t>s</w:t>
            </w:r>
            <w:r w:rsidR="002C00AC" w:rsidRPr="00C27867">
              <w:rPr>
                <w:rFonts w:ascii="Arial" w:hAnsi="Arial" w:cs="Arial"/>
                <w:sz w:val="18"/>
                <w:szCs w:val="18"/>
                <w:lang w:val="en-US"/>
              </w:rPr>
              <w:t>: </w:t>
            </w:r>
          </w:p>
          <w:p w14:paraId="121E2A82" w14:textId="2A51878F" w:rsidR="00002872" w:rsidRPr="00C27867" w:rsidRDefault="00002872"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AIFs in the process of </w:t>
            </w:r>
            <w:proofErr w:type="gramStart"/>
            <w:r w:rsidRPr="00C27867">
              <w:rPr>
                <w:rFonts w:ascii="Arial" w:hAnsi="Arial" w:cs="Arial"/>
                <w:sz w:val="18"/>
                <w:szCs w:val="18"/>
                <w:lang w:val="en-US"/>
              </w:rPr>
              <w:t>establishment;</w:t>
            </w:r>
            <w:proofErr w:type="gramEnd"/>
            <w:r w:rsidRPr="00C27867">
              <w:rPr>
                <w:rFonts w:ascii="Arial" w:hAnsi="Arial" w:cs="Arial"/>
                <w:sz w:val="18"/>
                <w:szCs w:val="18"/>
                <w:lang w:val="en-US"/>
              </w:rPr>
              <w:t xml:space="preserve"> </w:t>
            </w:r>
          </w:p>
          <w:p w14:paraId="1A6F26A3" w14:textId="05A7EE28" w:rsidR="00AA6E82" w:rsidRPr="00C27867" w:rsidRDefault="005B71B5"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Pr>
                <w:rFonts w:ascii="Arial" w:hAnsi="Arial" w:cs="Arial"/>
                <w:sz w:val="18"/>
                <w:szCs w:val="18"/>
                <w:lang w:val="en-US"/>
              </w:rPr>
              <w:t>Will be e</w:t>
            </w:r>
            <w:r w:rsidR="00AA6E82" w:rsidRPr="00C27867">
              <w:rPr>
                <w:rFonts w:ascii="Arial" w:hAnsi="Arial" w:cs="Arial"/>
                <w:sz w:val="18"/>
                <w:szCs w:val="18"/>
                <w:lang w:val="en-US"/>
              </w:rPr>
              <w:t xml:space="preserve">stablished in the </w:t>
            </w:r>
            <w:proofErr w:type="gramStart"/>
            <w:r w:rsidR="00AA6E82" w:rsidRPr="00C27867">
              <w:rPr>
                <w:rFonts w:ascii="Arial" w:hAnsi="Arial" w:cs="Arial"/>
                <w:sz w:val="18"/>
                <w:szCs w:val="18"/>
                <w:lang w:val="en-US"/>
              </w:rPr>
              <w:t>EU;</w:t>
            </w:r>
            <w:proofErr w:type="gramEnd"/>
            <w:r w:rsidR="00AA6E82" w:rsidRPr="00C27867">
              <w:rPr>
                <w:rFonts w:ascii="Arial" w:hAnsi="Arial" w:cs="Arial"/>
                <w:sz w:val="18"/>
                <w:szCs w:val="18"/>
                <w:lang w:val="en-US"/>
              </w:rPr>
              <w:t xml:space="preserve"> </w:t>
            </w:r>
          </w:p>
          <w:p w14:paraId="60113C22" w14:textId="4CEAF633" w:rsidR="002C00AC" w:rsidRPr="00C27867" w:rsidRDefault="00022061"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Have a defined investment period in line with market practice (usually 5 years, with the possibility of extension in accordance with the AIF’s contractual documentation</w:t>
            </w:r>
            <w:proofErr w:type="gramStart"/>
            <w:r w:rsidRPr="00C27867">
              <w:rPr>
                <w:rFonts w:ascii="Arial" w:hAnsi="Arial" w:cs="Arial"/>
                <w:sz w:val="18"/>
                <w:szCs w:val="18"/>
                <w:lang w:val="en-US"/>
              </w:rPr>
              <w:t>);</w:t>
            </w:r>
            <w:proofErr w:type="gramEnd"/>
          </w:p>
          <w:p w14:paraId="0EF5E8AC" w14:textId="77777777" w:rsidR="004A412B" w:rsidRPr="00C27867" w:rsidRDefault="004A412B"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Have a limited duration (usually not exceeding 10 years, with the possibility of extension in accordance with the AIF’s contractual documentation</w:t>
            </w:r>
            <w:proofErr w:type="gramStart"/>
            <w:r w:rsidRPr="00C27867">
              <w:rPr>
                <w:rFonts w:ascii="Arial" w:hAnsi="Arial" w:cs="Arial"/>
                <w:sz w:val="18"/>
                <w:szCs w:val="18"/>
                <w:lang w:val="en-US"/>
              </w:rPr>
              <w:t>);</w:t>
            </w:r>
            <w:proofErr w:type="gramEnd"/>
            <w:r w:rsidRPr="00C27867">
              <w:rPr>
                <w:rFonts w:ascii="Arial" w:hAnsi="Arial" w:cs="Arial"/>
                <w:sz w:val="18"/>
                <w:szCs w:val="18"/>
                <w:lang w:val="en-US"/>
              </w:rPr>
              <w:t xml:space="preserve"> </w:t>
            </w:r>
          </w:p>
          <w:p w14:paraId="552DAA98" w14:textId="77777777" w:rsidR="004A412B" w:rsidRPr="00C27867" w:rsidRDefault="004A412B"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Ensure equal investment conditions for all investors in the AIF (pari passu principle</w:t>
            </w:r>
            <w:proofErr w:type="gramStart"/>
            <w:r w:rsidRPr="00C27867">
              <w:rPr>
                <w:rFonts w:ascii="Arial" w:hAnsi="Arial" w:cs="Arial"/>
                <w:sz w:val="18"/>
                <w:szCs w:val="18"/>
                <w:lang w:val="en-US"/>
              </w:rPr>
              <w:t>);</w:t>
            </w:r>
            <w:proofErr w:type="gramEnd"/>
            <w:r w:rsidRPr="00C27867">
              <w:rPr>
                <w:rFonts w:ascii="Arial" w:hAnsi="Arial" w:cs="Arial"/>
                <w:sz w:val="18"/>
                <w:szCs w:val="18"/>
                <w:lang w:val="en-US"/>
              </w:rPr>
              <w:t xml:space="preserve"> </w:t>
            </w:r>
          </w:p>
          <w:p w14:paraId="61FD5A49" w14:textId="77777777" w:rsidR="00FD1764" w:rsidRPr="00C27867" w:rsidRDefault="00FD1764"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commitment of any investor </w:t>
            </w:r>
            <w:proofErr w:type="gramStart"/>
            <w:r w:rsidRPr="00C27867">
              <w:rPr>
                <w:rFonts w:ascii="Arial" w:hAnsi="Arial" w:cs="Arial"/>
                <w:sz w:val="18"/>
                <w:szCs w:val="18"/>
                <w:lang w:val="en-US"/>
              </w:rPr>
              <w:t>shall</w:t>
            </w:r>
            <w:proofErr w:type="gramEnd"/>
            <w:r w:rsidRPr="00C27867">
              <w:rPr>
                <w:rFonts w:ascii="Arial" w:hAnsi="Arial" w:cs="Arial"/>
                <w:sz w:val="18"/>
                <w:szCs w:val="18"/>
                <w:lang w:val="en-US"/>
              </w:rPr>
              <w:t xml:space="preserve"> not exceed 70% of the total size of the </w:t>
            </w:r>
            <w:proofErr w:type="gramStart"/>
            <w:r w:rsidRPr="00C27867">
              <w:rPr>
                <w:rFonts w:ascii="Arial" w:hAnsi="Arial" w:cs="Arial"/>
                <w:sz w:val="18"/>
                <w:szCs w:val="18"/>
                <w:lang w:val="en-US"/>
              </w:rPr>
              <w:t>AIF;</w:t>
            </w:r>
            <w:proofErr w:type="gramEnd"/>
          </w:p>
          <w:p w14:paraId="4825A92B" w14:textId="77777777" w:rsidR="00E8596E" w:rsidRPr="00C27867" w:rsidRDefault="00E8596E"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commitment of Private Investors must amount to at least 30% of the total size of the </w:t>
            </w:r>
            <w:proofErr w:type="gramStart"/>
            <w:r w:rsidRPr="00C27867">
              <w:rPr>
                <w:rFonts w:ascii="Arial" w:hAnsi="Arial" w:cs="Arial"/>
                <w:sz w:val="18"/>
                <w:szCs w:val="18"/>
                <w:lang w:val="en-US"/>
              </w:rPr>
              <w:t>AIF;</w:t>
            </w:r>
            <w:proofErr w:type="gramEnd"/>
            <w:r w:rsidRPr="00C27867">
              <w:rPr>
                <w:rFonts w:ascii="Arial" w:hAnsi="Arial" w:cs="Arial"/>
                <w:sz w:val="18"/>
                <w:szCs w:val="18"/>
                <w:lang w:val="en-US"/>
              </w:rPr>
              <w:t xml:space="preserve"> </w:t>
            </w:r>
          </w:p>
          <w:p w14:paraId="6FCBDFBF" w14:textId="2486B154" w:rsidR="002C00AC" w:rsidRPr="00C27867" w:rsidRDefault="00DC6A8C" w:rsidP="00C74CDC">
            <w:pPr>
              <w:pStyle w:val="paragraph"/>
              <w:numPr>
                <w:ilvl w:val="0"/>
                <w:numId w:val="6"/>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lastRenderedPageBreak/>
              <w:t>As part of the AIF's investment strategy, they intend to invest in Final Beneficiaries which, at the time of the AIF's first investment in them, are established in the Republic of Croatia and carry out the majority of their business in the Republic of Croatia or are planning an investment that will start long-term business in the Republic of Croatia</w:t>
            </w:r>
            <w:r w:rsidR="002C00AC" w:rsidRPr="00C27867">
              <w:rPr>
                <w:rFonts w:ascii="Arial" w:hAnsi="Arial" w:cs="Arial"/>
                <w:sz w:val="18"/>
                <w:szCs w:val="18"/>
                <w:lang w:val="en-US"/>
              </w:rPr>
              <w:t xml:space="preserve">: </w:t>
            </w:r>
          </w:p>
          <w:p w14:paraId="7B53A056" w14:textId="16682A2F" w:rsidR="002C00AC" w:rsidRPr="00940CED" w:rsidRDefault="002819BE" w:rsidP="00C74CDC">
            <w:pPr>
              <w:pStyle w:val="paragraph"/>
              <w:numPr>
                <w:ilvl w:val="1"/>
                <w:numId w:val="6"/>
              </w:numPr>
              <w:spacing w:before="60" w:beforeAutospacing="0" w:after="60" w:afterAutospacing="0" w:line="276" w:lineRule="auto"/>
              <w:ind w:right="86"/>
              <w:jc w:val="both"/>
              <w:rPr>
                <w:rFonts w:ascii="Arial" w:hAnsi="Arial" w:cs="Arial"/>
                <w:sz w:val="18"/>
                <w:szCs w:val="18"/>
                <w:lang w:val="en-US"/>
              </w:rPr>
            </w:pPr>
            <w:r w:rsidRPr="00940CED">
              <w:rPr>
                <w:rFonts w:ascii="Arial" w:hAnsi="Arial" w:cs="Arial"/>
                <w:sz w:val="18"/>
                <w:szCs w:val="18"/>
                <w:lang w:val="en-US"/>
              </w:rPr>
              <w:t xml:space="preserve">at least 70% of the total amount </w:t>
            </w:r>
            <w:r w:rsidR="00965328" w:rsidRPr="00940CED">
              <w:rPr>
                <w:rFonts w:ascii="Arial" w:hAnsi="Arial" w:cs="Arial"/>
                <w:sz w:val="18"/>
                <w:szCs w:val="18"/>
                <w:lang w:val="en-US"/>
              </w:rPr>
              <w:t>draw down for investments</w:t>
            </w:r>
            <w:r w:rsidRPr="00940CED">
              <w:rPr>
                <w:rFonts w:ascii="Arial" w:hAnsi="Arial" w:cs="Arial"/>
                <w:sz w:val="18"/>
                <w:szCs w:val="18"/>
                <w:lang w:val="en-US"/>
              </w:rPr>
              <w:t xml:space="preserve"> at the level of the AIF;</w:t>
            </w:r>
            <w:r w:rsidR="002C00AC" w:rsidRPr="00940CED">
              <w:rPr>
                <w:rFonts w:ascii="Arial" w:hAnsi="Arial" w:cs="Arial"/>
                <w:sz w:val="18"/>
                <w:szCs w:val="18"/>
                <w:lang w:val="en-US"/>
              </w:rPr>
              <w:t xml:space="preserve"> </w:t>
            </w:r>
            <w:r w:rsidR="007E2E02" w:rsidRPr="00940CED">
              <w:rPr>
                <w:rFonts w:ascii="Arial" w:hAnsi="Arial" w:cs="Arial"/>
                <w:sz w:val="18"/>
                <w:szCs w:val="18"/>
                <w:lang w:val="en-US"/>
              </w:rPr>
              <w:t>or</w:t>
            </w:r>
            <w:r w:rsidR="002C00AC" w:rsidRPr="00940CED">
              <w:rPr>
                <w:rFonts w:ascii="Arial" w:hAnsi="Arial" w:cs="Arial"/>
                <w:sz w:val="18"/>
                <w:szCs w:val="18"/>
                <w:lang w:val="en-US"/>
              </w:rPr>
              <w:t xml:space="preserve"> </w:t>
            </w:r>
          </w:p>
          <w:p w14:paraId="3EF427A9" w14:textId="352702A6" w:rsidR="002C00AC" w:rsidRPr="00940CED" w:rsidRDefault="007E2E02" w:rsidP="00C74CDC">
            <w:pPr>
              <w:pStyle w:val="paragraph"/>
              <w:numPr>
                <w:ilvl w:val="1"/>
                <w:numId w:val="6"/>
              </w:numPr>
              <w:spacing w:before="60" w:beforeAutospacing="0" w:after="60" w:afterAutospacing="0" w:line="276" w:lineRule="auto"/>
              <w:ind w:right="86"/>
              <w:jc w:val="both"/>
              <w:rPr>
                <w:rFonts w:ascii="Arial" w:hAnsi="Arial" w:cs="Arial"/>
                <w:sz w:val="18"/>
                <w:szCs w:val="18"/>
                <w:lang w:val="en-US"/>
              </w:rPr>
            </w:pPr>
            <w:r w:rsidRPr="00940CED">
              <w:rPr>
                <w:rFonts w:ascii="Arial" w:hAnsi="Arial" w:cs="Arial"/>
                <w:sz w:val="18"/>
                <w:szCs w:val="18"/>
                <w:lang w:val="en-US"/>
              </w:rPr>
              <w:t xml:space="preserve">double amount of HBOR’s commitment (for every euro of HBOR’s commitment, the AIF </w:t>
            </w:r>
            <w:proofErr w:type="gramStart"/>
            <w:r w:rsidRPr="00940CED">
              <w:rPr>
                <w:rFonts w:ascii="Arial" w:hAnsi="Arial" w:cs="Arial"/>
                <w:sz w:val="18"/>
                <w:szCs w:val="18"/>
                <w:lang w:val="en-US"/>
              </w:rPr>
              <w:t>at</w:t>
            </w:r>
            <w:proofErr w:type="gramEnd"/>
            <w:r w:rsidRPr="00940CED">
              <w:rPr>
                <w:rFonts w:ascii="Arial" w:hAnsi="Arial" w:cs="Arial"/>
                <w:sz w:val="18"/>
                <w:szCs w:val="18"/>
                <w:lang w:val="en-US"/>
              </w:rPr>
              <w:t xml:space="preserve"> least one additional euro</w:t>
            </w:r>
            <w:r w:rsidR="00965328" w:rsidRPr="00940CED">
              <w:rPr>
                <w:rFonts w:ascii="Arial" w:hAnsi="Arial" w:cs="Arial"/>
                <w:sz w:val="18"/>
                <w:szCs w:val="18"/>
                <w:lang w:val="en-US"/>
              </w:rPr>
              <w:t>, at least</w:t>
            </w:r>
            <w:r w:rsidRPr="00940CED">
              <w:rPr>
                <w:rFonts w:ascii="Arial" w:hAnsi="Arial" w:cs="Arial"/>
                <w:sz w:val="18"/>
                <w:szCs w:val="18"/>
                <w:lang w:val="en-US"/>
              </w:rPr>
              <w:t>).</w:t>
            </w:r>
          </w:p>
          <w:p w14:paraId="37A2443B" w14:textId="412EE31D" w:rsidR="002C00AC" w:rsidRPr="00C27867" w:rsidRDefault="00371C57" w:rsidP="00B1162E">
            <w:pPr>
              <w:pStyle w:val="paragraph"/>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w:t>
            </w:r>
            <w:r w:rsidR="00035AEA">
              <w:rPr>
                <w:rFonts w:ascii="Arial" w:hAnsi="Arial" w:cs="Arial"/>
                <w:b/>
                <w:bCs/>
                <w:sz w:val="18"/>
                <w:szCs w:val="18"/>
                <w:lang w:val="en-US"/>
              </w:rPr>
              <w:t>Financial</w:t>
            </w:r>
            <w:r w:rsidR="00DA0523">
              <w:rPr>
                <w:rFonts w:ascii="Arial" w:hAnsi="Arial" w:cs="Arial"/>
                <w:b/>
                <w:bCs/>
                <w:sz w:val="18"/>
                <w:szCs w:val="18"/>
                <w:lang w:val="en-US"/>
              </w:rPr>
              <w:t xml:space="preserve"> Int</w:t>
            </w:r>
            <w:r w:rsidR="00035AEA">
              <w:rPr>
                <w:rFonts w:ascii="Arial" w:hAnsi="Arial" w:cs="Arial"/>
                <w:b/>
                <w:bCs/>
                <w:sz w:val="18"/>
                <w:szCs w:val="18"/>
                <w:lang w:val="en-US"/>
              </w:rPr>
              <w:t>ermediary</w:t>
            </w:r>
            <w:r w:rsidR="00AF39FB" w:rsidRPr="00C27867">
              <w:rPr>
                <w:rFonts w:ascii="Arial" w:hAnsi="Arial" w:cs="Arial"/>
                <w:sz w:val="18"/>
                <w:szCs w:val="18"/>
                <w:lang w:val="en-US"/>
              </w:rPr>
              <w:t xml:space="preserve"> </w:t>
            </w:r>
            <w:r w:rsidRPr="00C27867">
              <w:rPr>
                <w:rFonts w:ascii="Arial" w:hAnsi="Arial" w:cs="Arial"/>
                <w:sz w:val="18"/>
                <w:szCs w:val="18"/>
                <w:lang w:val="en-US"/>
              </w:rPr>
              <w:t xml:space="preserve">or other legal entity advising </w:t>
            </w:r>
            <w:r w:rsidR="00DA0523" w:rsidRPr="00C27867">
              <w:rPr>
                <w:rFonts w:ascii="Arial" w:hAnsi="Arial" w:cs="Arial"/>
                <w:sz w:val="18"/>
                <w:szCs w:val="18"/>
                <w:lang w:val="en-US"/>
              </w:rPr>
              <w:t>AIF</w:t>
            </w:r>
            <w:r w:rsidRPr="00C27867">
              <w:rPr>
                <w:rFonts w:ascii="Arial" w:hAnsi="Arial" w:cs="Arial"/>
                <w:sz w:val="18"/>
                <w:szCs w:val="18"/>
                <w:lang w:val="en-US"/>
              </w:rPr>
              <w:t xml:space="preserve"> must meet the following </w:t>
            </w:r>
            <w:r w:rsidRPr="00C27867">
              <w:rPr>
                <w:rFonts w:ascii="Arial" w:hAnsi="Arial" w:cs="Arial"/>
                <w:b/>
                <w:bCs/>
                <w:sz w:val="18"/>
                <w:szCs w:val="18"/>
                <w:lang w:val="en-US"/>
              </w:rPr>
              <w:t>key conditions:</w:t>
            </w:r>
          </w:p>
          <w:p w14:paraId="7EE774EB" w14:textId="02003C53" w:rsidR="003B4BAD" w:rsidRPr="003B4BAD" w:rsidRDefault="00552151" w:rsidP="00C74CDC">
            <w:pPr>
              <w:pStyle w:val="paragraph"/>
              <w:numPr>
                <w:ilvl w:val="0"/>
                <w:numId w:val="10"/>
              </w:numPr>
              <w:spacing w:beforeLines="60" w:before="144" w:beforeAutospacing="0" w:afterLines="60" w:after="144" w:afterAutospacing="0" w:line="276" w:lineRule="auto"/>
              <w:ind w:right="86"/>
              <w:jc w:val="both"/>
              <w:rPr>
                <w:rFonts w:ascii="Arial" w:hAnsi="Arial" w:cs="Arial"/>
                <w:sz w:val="18"/>
                <w:szCs w:val="18"/>
                <w:lang w:val="en-US"/>
              </w:rPr>
            </w:pPr>
            <w:proofErr w:type="gramStart"/>
            <w:r w:rsidRPr="00C27867">
              <w:rPr>
                <w:rFonts w:ascii="Arial" w:hAnsi="Arial" w:cs="Arial"/>
                <w:sz w:val="18"/>
                <w:szCs w:val="18"/>
                <w:lang w:val="en-US"/>
              </w:rPr>
              <w:t>M</w:t>
            </w:r>
            <w:r w:rsidR="0030557B" w:rsidRPr="00C27867">
              <w:rPr>
                <w:rFonts w:ascii="Arial" w:hAnsi="Arial" w:cs="Arial"/>
                <w:sz w:val="18"/>
                <w:szCs w:val="18"/>
                <w:lang w:val="en-US"/>
              </w:rPr>
              <w:t>ust</w:t>
            </w:r>
            <w:proofErr w:type="gramEnd"/>
            <w:r w:rsidR="0030557B" w:rsidRPr="00C27867">
              <w:rPr>
                <w:rFonts w:ascii="Arial" w:hAnsi="Arial" w:cs="Arial"/>
                <w:sz w:val="18"/>
                <w:szCs w:val="18"/>
                <w:lang w:val="en-US"/>
              </w:rPr>
              <w:t xml:space="preserve"> have independent governance</w:t>
            </w:r>
            <w:r w:rsidR="00EE1779">
              <w:rPr>
                <w:rFonts w:ascii="Arial" w:hAnsi="Arial" w:cs="Arial"/>
                <w:sz w:val="18"/>
                <w:szCs w:val="18"/>
                <w:lang w:val="en-US"/>
              </w:rPr>
              <w:t xml:space="preserve"> and </w:t>
            </w:r>
            <w:r w:rsidR="0030557B" w:rsidRPr="00C27867">
              <w:rPr>
                <w:rFonts w:ascii="Arial" w:hAnsi="Arial" w:cs="Arial"/>
                <w:sz w:val="18"/>
                <w:szCs w:val="18"/>
                <w:lang w:val="en-US"/>
              </w:rPr>
              <w:t xml:space="preserve">investment decisions </w:t>
            </w:r>
            <w:r w:rsidR="003B4BAD" w:rsidRPr="003B4BAD">
              <w:rPr>
                <w:rFonts w:ascii="Arial" w:hAnsi="Arial" w:cs="Arial"/>
                <w:sz w:val="18"/>
                <w:szCs w:val="18"/>
                <w:lang w:val="en-US"/>
              </w:rPr>
              <w:t>must be made by the management team of the Financial Intermediary</w:t>
            </w:r>
            <w:r w:rsidR="004640AF">
              <w:rPr>
                <w:rFonts w:ascii="Arial" w:hAnsi="Arial" w:cs="Arial"/>
                <w:sz w:val="18"/>
                <w:szCs w:val="18"/>
                <w:lang w:val="en-US"/>
              </w:rPr>
              <w:t xml:space="preserve"> </w:t>
            </w:r>
            <w:r w:rsidR="003B4BAD" w:rsidRPr="003B4BAD">
              <w:rPr>
                <w:rFonts w:ascii="Arial" w:hAnsi="Arial" w:cs="Arial"/>
                <w:sz w:val="18"/>
                <w:szCs w:val="18"/>
                <w:lang w:val="en-US"/>
              </w:rPr>
              <w:t xml:space="preserve">or a committee whose members are independent of the </w:t>
            </w:r>
            <w:proofErr w:type="gramStart"/>
            <w:r w:rsidR="003B4BAD" w:rsidRPr="003B4BAD">
              <w:rPr>
                <w:rFonts w:ascii="Arial" w:hAnsi="Arial" w:cs="Arial"/>
                <w:sz w:val="18"/>
                <w:szCs w:val="18"/>
                <w:lang w:val="en-US"/>
              </w:rPr>
              <w:t>investors;</w:t>
            </w:r>
            <w:proofErr w:type="gramEnd"/>
          </w:p>
          <w:p w14:paraId="5CC3AF2D" w14:textId="3F41DFDE" w:rsidR="002C00AC" w:rsidRPr="00C27867" w:rsidRDefault="00552151" w:rsidP="00C74CDC">
            <w:pPr>
              <w:pStyle w:val="paragraph"/>
              <w:numPr>
                <w:ilvl w:val="0"/>
                <w:numId w:val="10"/>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M</w:t>
            </w:r>
            <w:r w:rsidR="00A42925" w:rsidRPr="00C27867">
              <w:rPr>
                <w:rFonts w:ascii="Arial" w:hAnsi="Arial" w:cs="Arial"/>
                <w:sz w:val="18"/>
                <w:szCs w:val="18"/>
                <w:lang w:val="en-US"/>
              </w:rPr>
              <w:t xml:space="preserve">embers of the management team must invest their own funds in the </w:t>
            </w:r>
            <w:proofErr w:type="gramStart"/>
            <w:r w:rsidR="00A42925" w:rsidRPr="00C27867">
              <w:rPr>
                <w:rFonts w:ascii="Arial" w:hAnsi="Arial" w:cs="Arial"/>
                <w:sz w:val="18"/>
                <w:szCs w:val="18"/>
                <w:lang w:val="en-US"/>
              </w:rPr>
              <w:t>AIF;</w:t>
            </w:r>
            <w:proofErr w:type="gramEnd"/>
            <w:r w:rsidR="002C00AC" w:rsidRPr="00C27867">
              <w:rPr>
                <w:rFonts w:ascii="Arial" w:hAnsi="Arial" w:cs="Arial"/>
                <w:sz w:val="18"/>
                <w:szCs w:val="18"/>
                <w:lang w:val="en-US"/>
              </w:rPr>
              <w:t> </w:t>
            </w:r>
          </w:p>
          <w:p w14:paraId="5A242EA2" w14:textId="52BBEF7B" w:rsidR="002C00AC" w:rsidRPr="00C27867" w:rsidRDefault="00CA748A" w:rsidP="00C74CDC">
            <w:pPr>
              <w:pStyle w:val="paragraph"/>
              <w:numPr>
                <w:ilvl w:val="0"/>
                <w:numId w:val="10"/>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M</w:t>
            </w:r>
            <w:r w:rsidR="004F4ABD" w:rsidRPr="00C27867">
              <w:rPr>
                <w:rFonts w:ascii="Arial" w:hAnsi="Arial" w:cs="Arial"/>
                <w:sz w:val="18"/>
                <w:szCs w:val="18"/>
                <w:lang w:val="en-US"/>
              </w:rPr>
              <w:t xml:space="preserve">ust be familiar with the Croatian business environment, and preferably it should ensure presence on the Croatian market by establishing subsidiaries or offices in the Republic of Croatia with an appropriate team which includes investment professionals who are able to operate in the Croatian business environment (including adequate language skills) for the entire duration of the </w:t>
            </w:r>
            <w:proofErr w:type="gramStart"/>
            <w:r w:rsidR="004F4ABD" w:rsidRPr="00C27867">
              <w:rPr>
                <w:rFonts w:ascii="Arial" w:hAnsi="Arial" w:cs="Arial"/>
                <w:sz w:val="18"/>
                <w:szCs w:val="18"/>
                <w:lang w:val="en-US"/>
              </w:rPr>
              <w:t>AIF</w:t>
            </w:r>
            <w:r w:rsidR="002C00AC" w:rsidRPr="00C27867">
              <w:rPr>
                <w:rFonts w:ascii="Arial" w:hAnsi="Arial" w:cs="Arial"/>
                <w:sz w:val="18"/>
                <w:szCs w:val="18"/>
                <w:lang w:val="en-US"/>
              </w:rPr>
              <w:t>;</w:t>
            </w:r>
            <w:proofErr w:type="gramEnd"/>
          </w:p>
          <w:p w14:paraId="0DE10E82" w14:textId="77777777" w:rsidR="001E2644" w:rsidRPr="00C27867" w:rsidRDefault="001E2644" w:rsidP="00C74CDC">
            <w:pPr>
              <w:pStyle w:val="paragraph"/>
              <w:numPr>
                <w:ilvl w:val="0"/>
                <w:numId w:val="10"/>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Must be established in the EU or will be established in the </w:t>
            </w:r>
            <w:proofErr w:type="gramStart"/>
            <w:r w:rsidRPr="00C27867">
              <w:rPr>
                <w:rFonts w:ascii="Arial" w:hAnsi="Arial" w:cs="Arial"/>
                <w:sz w:val="18"/>
                <w:szCs w:val="18"/>
                <w:lang w:val="en-US"/>
              </w:rPr>
              <w:t>EU;</w:t>
            </w:r>
            <w:proofErr w:type="gramEnd"/>
          </w:p>
          <w:p w14:paraId="4993EC88" w14:textId="31EAF441" w:rsidR="002C00AC" w:rsidRPr="00C27867" w:rsidRDefault="0050069D" w:rsidP="00C74CDC">
            <w:pPr>
              <w:pStyle w:val="ListParagraph"/>
              <w:numPr>
                <w:ilvl w:val="0"/>
                <w:numId w:val="10"/>
              </w:numPr>
              <w:spacing w:line="276" w:lineRule="auto"/>
              <w:rPr>
                <w:rFonts w:eastAsia="Times New Roman" w:cs="Arial"/>
                <w:sz w:val="18"/>
                <w:szCs w:val="18"/>
                <w:lang w:val="en-US" w:eastAsia="hr-HR"/>
              </w:rPr>
            </w:pPr>
            <w:r w:rsidRPr="00C27867">
              <w:rPr>
                <w:rFonts w:eastAsia="Times New Roman" w:cs="Arial"/>
                <w:sz w:val="18"/>
                <w:szCs w:val="18"/>
                <w:lang w:val="en-US" w:eastAsia="hr-HR"/>
              </w:rPr>
              <w:t>When investing in Final Beneficiaries, where applicable, Financial Intermediaries should implement all necessary assessments so that such investment “does no significant harm” (abbreviation: DNSH) to the EU's environmental objectives in terms of the DNSH principle in accordance with Article 17 of the Regulation (EU) 2020/852</w:t>
            </w:r>
            <w:r w:rsidR="002C00AC" w:rsidRPr="00C27867">
              <w:rPr>
                <w:rFonts w:cs="Arial"/>
                <w:sz w:val="18"/>
                <w:szCs w:val="18"/>
                <w:vertAlign w:val="superscript"/>
                <w:lang w:val="en-US"/>
              </w:rPr>
              <w:footnoteReference w:id="4"/>
            </w:r>
            <w:r w:rsidR="002C00AC" w:rsidRPr="00C27867">
              <w:rPr>
                <w:rFonts w:cs="Arial"/>
                <w:sz w:val="18"/>
                <w:szCs w:val="18"/>
                <w:lang w:val="en-US"/>
              </w:rPr>
              <w:t>.</w:t>
            </w:r>
          </w:p>
          <w:p w14:paraId="4AE5FCDD" w14:textId="79D0D0EC" w:rsidR="002C00AC" w:rsidRPr="00C27867" w:rsidRDefault="00891215" w:rsidP="00B1162E">
            <w:pPr>
              <w:pStyle w:val="paragraph"/>
              <w:spacing w:beforeLines="60" w:before="144" w:beforeAutospacing="0" w:afterLines="60" w:after="144" w:afterAutospacing="0" w:line="276" w:lineRule="auto"/>
              <w:ind w:right="85"/>
              <w:jc w:val="both"/>
              <w:rPr>
                <w:rFonts w:ascii="Arial" w:hAnsi="Arial" w:cs="Arial"/>
                <w:sz w:val="18"/>
                <w:szCs w:val="18"/>
                <w:lang w:val="en-US"/>
              </w:rPr>
            </w:pPr>
            <w:r w:rsidRPr="00C27867">
              <w:rPr>
                <w:rFonts w:ascii="Arial" w:hAnsi="Arial" w:cs="Arial"/>
                <w:sz w:val="18"/>
                <w:szCs w:val="18"/>
                <w:lang w:val="en-US"/>
              </w:rPr>
              <w:t xml:space="preserve">Preference in the selection process will be given to </w:t>
            </w:r>
            <w:r w:rsidR="005577B4" w:rsidRPr="005577B4">
              <w:rPr>
                <w:rFonts w:ascii="Arial" w:hAnsi="Arial" w:cs="Arial"/>
                <w:sz w:val="18"/>
                <w:szCs w:val="18"/>
                <w:lang w:val="en-US"/>
              </w:rPr>
              <w:t>Financial Intermediar</w:t>
            </w:r>
            <w:r w:rsidR="005577B4">
              <w:rPr>
                <w:rFonts w:ascii="Arial" w:hAnsi="Arial" w:cs="Arial"/>
                <w:sz w:val="18"/>
                <w:szCs w:val="18"/>
                <w:lang w:val="en-US"/>
              </w:rPr>
              <w:t>ies</w:t>
            </w:r>
            <w:r w:rsidR="002C00AC" w:rsidRPr="00C27867">
              <w:rPr>
                <w:rFonts w:ascii="Arial" w:hAnsi="Arial" w:cs="Arial"/>
                <w:sz w:val="18"/>
                <w:szCs w:val="18"/>
                <w:lang w:val="en-US"/>
              </w:rPr>
              <w:t>:</w:t>
            </w:r>
          </w:p>
          <w:p w14:paraId="298FC0F2" w14:textId="77777777" w:rsidR="00131DBF" w:rsidRPr="00C27867" w:rsidRDefault="00131DBF" w:rsidP="00C74CDC">
            <w:pPr>
              <w:pStyle w:val="paragraph"/>
              <w:numPr>
                <w:ilvl w:val="0"/>
                <w:numId w:val="12"/>
              </w:numPr>
              <w:spacing w:beforeLines="60" w:before="144" w:beforeAutospacing="0" w:afterLines="60" w:after="144" w:afterAutospacing="0" w:line="276" w:lineRule="auto"/>
              <w:ind w:right="85"/>
              <w:jc w:val="both"/>
              <w:rPr>
                <w:rFonts w:ascii="Arial" w:hAnsi="Arial" w:cs="Arial"/>
                <w:sz w:val="18"/>
                <w:szCs w:val="18"/>
                <w:lang w:val="en-US"/>
              </w:rPr>
            </w:pPr>
            <w:r w:rsidRPr="00C27867">
              <w:rPr>
                <w:rFonts w:ascii="Arial" w:hAnsi="Arial" w:cs="Arial"/>
                <w:sz w:val="18"/>
                <w:szCs w:val="18"/>
                <w:lang w:val="en-US"/>
              </w:rPr>
              <w:t xml:space="preserve">with prior experience in public offering processes; or </w:t>
            </w:r>
          </w:p>
          <w:p w14:paraId="6D8F3623" w14:textId="60EF58EE" w:rsidR="002C00AC" w:rsidRPr="00C27867" w:rsidRDefault="00E969E6" w:rsidP="00C74CDC">
            <w:pPr>
              <w:pStyle w:val="paragraph"/>
              <w:numPr>
                <w:ilvl w:val="0"/>
                <w:numId w:val="12"/>
              </w:numPr>
              <w:spacing w:beforeLines="60" w:before="144" w:beforeAutospacing="0" w:afterLines="60" w:after="144" w:afterAutospacing="0" w:line="276" w:lineRule="auto"/>
              <w:ind w:right="85"/>
              <w:jc w:val="both"/>
              <w:rPr>
                <w:rFonts w:ascii="Arial" w:hAnsi="Arial" w:cs="Arial"/>
                <w:sz w:val="18"/>
                <w:szCs w:val="18"/>
                <w:lang w:val="en-US"/>
              </w:rPr>
            </w:pPr>
            <w:r w:rsidRPr="00C27867">
              <w:rPr>
                <w:rFonts w:ascii="Arial" w:hAnsi="Arial" w:cs="Arial"/>
                <w:sz w:val="18"/>
                <w:szCs w:val="18"/>
                <w:lang w:val="en-US"/>
              </w:rPr>
              <w:t>whose team members have experience in public offering processes</w:t>
            </w:r>
            <w:r w:rsidR="002C00AC" w:rsidRPr="00C27867">
              <w:rPr>
                <w:rFonts w:ascii="Arial" w:hAnsi="Arial" w:cs="Arial"/>
                <w:sz w:val="18"/>
                <w:szCs w:val="18"/>
                <w:lang w:val="en-US"/>
              </w:rPr>
              <w:t xml:space="preserve">. </w:t>
            </w:r>
          </w:p>
          <w:p w14:paraId="2A1CC70A" w14:textId="77777777" w:rsidR="002C00AC" w:rsidRPr="00C27867" w:rsidRDefault="002C00AC" w:rsidP="00B1162E">
            <w:pPr>
              <w:pStyle w:val="paragraph"/>
              <w:spacing w:before="60" w:beforeAutospacing="0" w:after="60" w:afterAutospacing="0" w:line="276" w:lineRule="auto"/>
              <w:ind w:right="86"/>
              <w:jc w:val="both"/>
              <w:rPr>
                <w:rFonts w:ascii="Arial" w:hAnsi="Arial" w:cs="Arial"/>
                <w:sz w:val="18"/>
                <w:szCs w:val="18"/>
                <w:lang w:val="en-US"/>
              </w:rPr>
            </w:pPr>
          </w:p>
        </w:tc>
      </w:tr>
      <w:tr w:rsidR="002C00AC" w:rsidRPr="00C27867" w14:paraId="2D7DE003" w14:textId="77777777" w:rsidTr="000C6EB5">
        <w:trPr>
          <w:trHeight w:val="300"/>
        </w:trPr>
        <w:tc>
          <w:tcPr>
            <w:tcW w:w="1091" w:type="pct"/>
            <w:tcBorders>
              <w:top w:val="single" w:sz="4" w:space="0" w:color="auto"/>
            </w:tcBorders>
            <w:hideMark/>
          </w:tcPr>
          <w:p w14:paraId="579E982E" w14:textId="0ECB650F" w:rsidR="002C00AC" w:rsidRPr="00C27867" w:rsidRDefault="00615023" w:rsidP="00C74CDC">
            <w:pPr>
              <w:pStyle w:val="paragraph"/>
              <w:numPr>
                <w:ilvl w:val="0"/>
                <w:numId w:val="13"/>
              </w:numPr>
              <w:spacing w:before="120" w:beforeAutospacing="0" w:after="0" w:afterAutospacing="0" w:line="276" w:lineRule="auto"/>
              <w:rPr>
                <w:rFonts w:ascii="Arial" w:hAnsi="Arial" w:cs="Arial"/>
                <w:b/>
                <w:bCs/>
                <w:sz w:val="18"/>
                <w:szCs w:val="18"/>
                <w:lang w:val="en-US"/>
              </w:rPr>
            </w:pPr>
            <w:r w:rsidRPr="00C27867">
              <w:rPr>
                <w:rFonts w:ascii="Arial" w:hAnsi="Arial" w:cs="Arial"/>
                <w:b/>
                <w:bCs/>
                <w:sz w:val="18"/>
                <w:szCs w:val="18"/>
                <w:lang w:val="en-US"/>
              </w:rPr>
              <w:lastRenderedPageBreak/>
              <w:t>HBOR’s commitment to the AIF</w:t>
            </w:r>
          </w:p>
        </w:tc>
        <w:tc>
          <w:tcPr>
            <w:tcW w:w="3909" w:type="pct"/>
            <w:tcBorders>
              <w:top w:val="single" w:sz="4" w:space="0" w:color="auto"/>
            </w:tcBorders>
            <w:vAlign w:val="center"/>
            <w:hideMark/>
          </w:tcPr>
          <w:p w14:paraId="7A4112DF" w14:textId="3AE45374" w:rsidR="002C00AC" w:rsidRPr="00C27867" w:rsidRDefault="00D6157E" w:rsidP="00B1162E">
            <w:pPr>
              <w:pStyle w:val="paragraph"/>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HBOR’s commitment to </w:t>
            </w:r>
            <w:proofErr w:type="gramStart"/>
            <w:r w:rsidRPr="00C27867">
              <w:rPr>
                <w:rFonts w:ascii="Arial" w:hAnsi="Arial" w:cs="Arial"/>
                <w:sz w:val="18"/>
                <w:szCs w:val="18"/>
                <w:lang w:val="en-US"/>
              </w:rPr>
              <w:t>the AIF</w:t>
            </w:r>
            <w:proofErr w:type="gramEnd"/>
            <w:r w:rsidRPr="00C27867">
              <w:rPr>
                <w:rFonts w:ascii="Arial" w:hAnsi="Arial" w:cs="Arial"/>
                <w:sz w:val="18"/>
                <w:szCs w:val="18"/>
                <w:lang w:val="en-US"/>
              </w:rPr>
              <w:t xml:space="preserve"> shall amount to a maximum of EUR 30 million</w:t>
            </w:r>
            <w:r w:rsidR="009C50C8">
              <w:rPr>
                <w:rFonts w:ascii="Arial" w:hAnsi="Arial" w:cs="Arial"/>
                <w:sz w:val="18"/>
                <w:szCs w:val="18"/>
                <w:lang w:val="en-US"/>
              </w:rPr>
              <w:t>.</w:t>
            </w:r>
          </w:p>
        </w:tc>
      </w:tr>
      <w:tr w:rsidR="002C00AC" w:rsidRPr="00C27867" w14:paraId="4331BBE9" w14:textId="77777777" w:rsidTr="00367463">
        <w:trPr>
          <w:trHeight w:val="300"/>
        </w:trPr>
        <w:tc>
          <w:tcPr>
            <w:tcW w:w="1091" w:type="pct"/>
            <w:tcBorders>
              <w:top w:val="single" w:sz="4" w:space="0" w:color="auto"/>
              <w:bottom w:val="single" w:sz="4" w:space="0" w:color="auto"/>
            </w:tcBorders>
            <w:hideMark/>
          </w:tcPr>
          <w:p w14:paraId="51079540" w14:textId="1A9818BE" w:rsidR="002C00AC" w:rsidRPr="00C27867" w:rsidRDefault="00B14B18" w:rsidP="002C00AC">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Private Investors</w:t>
            </w:r>
          </w:p>
        </w:tc>
        <w:tc>
          <w:tcPr>
            <w:tcW w:w="3909" w:type="pct"/>
            <w:tcBorders>
              <w:top w:val="single" w:sz="4" w:space="0" w:color="auto"/>
              <w:bottom w:val="single" w:sz="4" w:space="0" w:color="auto"/>
            </w:tcBorders>
            <w:hideMark/>
          </w:tcPr>
          <w:p w14:paraId="2AF5A100" w14:textId="6732C60C" w:rsidR="002C00AC" w:rsidRPr="00C27867" w:rsidRDefault="00B14B18"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Private Investors </w:t>
            </w:r>
            <w:proofErr w:type="gramStart"/>
            <w:r w:rsidRPr="00C27867">
              <w:rPr>
                <w:rFonts w:ascii="Arial" w:hAnsi="Arial" w:cs="Arial"/>
                <w:sz w:val="18"/>
                <w:szCs w:val="18"/>
                <w:lang w:val="en-US"/>
              </w:rPr>
              <w:t>are considered to be</w:t>
            </w:r>
            <w:proofErr w:type="gramEnd"/>
            <w:r w:rsidRPr="00C27867">
              <w:rPr>
                <w:rFonts w:ascii="Arial" w:hAnsi="Arial" w:cs="Arial"/>
                <w:sz w:val="18"/>
                <w:szCs w:val="18"/>
                <w:lang w:val="en-US"/>
              </w:rPr>
              <w:t xml:space="preserve">: </w:t>
            </w:r>
          </w:p>
          <w:p w14:paraId="6115CDA6" w14:textId="77777777" w:rsidR="0047323F" w:rsidRPr="00C27867" w:rsidRDefault="0047323F"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majority privately owned financial institutions (investing at their own risk and from their own resources</w:t>
            </w:r>
            <w:proofErr w:type="gramStart"/>
            <w:r w:rsidRPr="00C27867">
              <w:rPr>
                <w:rFonts w:ascii="Arial" w:hAnsi="Arial" w:cs="Arial"/>
                <w:sz w:val="18"/>
                <w:szCs w:val="18"/>
                <w:lang w:val="en-US"/>
              </w:rPr>
              <w:t>);</w:t>
            </w:r>
            <w:proofErr w:type="gramEnd"/>
            <w:r w:rsidRPr="00C27867">
              <w:rPr>
                <w:rFonts w:ascii="Arial" w:hAnsi="Arial" w:cs="Arial"/>
                <w:sz w:val="18"/>
                <w:szCs w:val="18"/>
                <w:lang w:val="en-US"/>
              </w:rPr>
              <w:t xml:space="preserve"> </w:t>
            </w:r>
          </w:p>
          <w:p w14:paraId="66529C13"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Funds of funds: </w:t>
            </w:r>
          </w:p>
          <w:p w14:paraId="0A3A6198" w14:textId="28958F5B" w:rsidR="002D2F30" w:rsidRPr="00C27867" w:rsidRDefault="002D2F30" w:rsidP="00C74CDC">
            <w:pPr>
              <w:pStyle w:val="paragraph"/>
              <w:numPr>
                <w:ilvl w:val="1"/>
                <w:numId w:val="15"/>
              </w:numPr>
              <w:spacing w:before="0" w:beforeAutospacing="0" w:after="0" w:afterAutospacing="0" w:line="276" w:lineRule="auto"/>
              <w:ind w:right="86"/>
              <w:jc w:val="both"/>
              <w:rPr>
                <w:rFonts w:ascii="Arial" w:hAnsi="Arial" w:cs="Arial"/>
                <w:sz w:val="18"/>
                <w:szCs w:val="18"/>
                <w:lang w:val="en-US"/>
              </w:rPr>
            </w:pPr>
            <w:r w:rsidRPr="00C27867">
              <w:rPr>
                <w:rFonts w:ascii="Arial" w:hAnsi="Arial" w:cs="Arial"/>
                <w:sz w:val="18"/>
                <w:szCs w:val="18"/>
                <w:lang w:val="en-US"/>
              </w:rPr>
              <w:t>those classified as an AIF under the Directive on Alternative Investment Fund Managers</w:t>
            </w:r>
            <w:r w:rsidR="007E79AB" w:rsidRPr="00C27867">
              <w:rPr>
                <w:rStyle w:val="FootnoteReference"/>
                <w:rFonts w:ascii="Arial" w:hAnsi="Arial" w:cs="Arial"/>
                <w:sz w:val="18"/>
                <w:szCs w:val="18"/>
                <w:lang w:val="en-US"/>
              </w:rPr>
              <w:footnoteReference w:id="5"/>
            </w:r>
          </w:p>
          <w:p w14:paraId="7CBEABC7" w14:textId="77777777" w:rsidR="002D2F30" w:rsidRPr="00C27867" w:rsidRDefault="002D2F30" w:rsidP="00C74CDC">
            <w:pPr>
              <w:pStyle w:val="paragraph"/>
              <w:numPr>
                <w:ilvl w:val="1"/>
                <w:numId w:val="15"/>
              </w:numPr>
              <w:spacing w:before="0" w:beforeAutospacing="0" w:after="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those that are managed or advised by an independent management team, </w:t>
            </w:r>
          </w:p>
          <w:p w14:paraId="39D0EDE6" w14:textId="77777777" w:rsidR="002D2F30" w:rsidRPr="00C27867" w:rsidRDefault="002D2F30" w:rsidP="00C74CDC">
            <w:pPr>
              <w:pStyle w:val="paragraph"/>
              <w:numPr>
                <w:ilvl w:val="1"/>
                <w:numId w:val="15"/>
              </w:numPr>
              <w:spacing w:before="0" w:beforeAutospacing="0" w:after="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those whose majority sponsors are not Member States or national promotional banks or institutions or the EIF or the European Investment </w:t>
            </w:r>
            <w:proofErr w:type="gramStart"/>
            <w:r w:rsidRPr="00C27867">
              <w:rPr>
                <w:rFonts w:ascii="Arial" w:hAnsi="Arial" w:cs="Arial"/>
                <w:sz w:val="18"/>
                <w:szCs w:val="18"/>
                <w:lang w:val="en-US"/>
              </w:rPr>
              <w:t>Bank;</w:t>
            </w:r>
            <w:proofErr w:type="gramEnd"/>
            <w:r w:rsidRPr="00C27867">
              <w:rPr>
                <w:rFonts w:ascii="Arial" w:hAnsi="Arial" w:cs="Arial"/>
                <w:sz w:val="18"/>
                <w:szCs w:val="18"/>
                <w:lang w:val="en-US"/>
              </w:rPr>
              <w:t xml:space="preserve"> </w:t>
            </w:r>
          </w:p>
          <w:p w14:paraId="1F436D18"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lastRenderedPageBreak/>
              <w:t xml:space="preserve">private endowments or </w:t>
            </w:r>
            <w:proofErr w:type="gramStart"/>
            <w:r w:rsidRPr="00C27867">
              <w:rPr>
                <w:rFonts w:ascii="Arial" w:hAnsi="Arial" w:cs="Arial"/>
                <w:sz w:val="18"/>
                <w:szCs w:val="18"/>
                <w:lang w:val="en-US"/>
              </w:rPr>
              <w:t>foundations;</w:t>
            </w:r>
            <w:proofErr w:type="gramEnd"/>
            <w:r w:rsidRPr="00C27867">
              <w:rPr>
                <w:rFonts w:ascii="Arial" w:hAnsi="Arial" w:cs="Arial"/>
                <w:sz w:val="18"/>
                <w:szCs w:val="18"/>
                <w:lang w:val="en-US"/>
              </w:rPr>
              <w:t xml:space="preserve"> </w:t>
            </w:r>
          </w:p>
          <w:p w14:paraId="78BCF1B4"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family offices and business </w:t>
            </w:r>
            <w:proofErr w:type="gramStart"/>
            <w:r w:rsidRPr="00C27867">
              <w:rPr>
                <w:rFonts w:ascii="Arial" w:hAnsi="Arial" w:cs="Arial"/>
                <w:sz w:val="18"/>
                <w:szCs w:val="18"/>
                <w:lang w:val="en-US"/>
              </w:rPr>
              <w:t>angels;</w:t>
            </w:r>
            <w:proofErr w:type="gramEnd"/>
            <w:r w:rsidRPr="00C27867">
              <w:rPr>
                <w:rFonts w:ascii="Arial" w:hAnsi="Arial" w:cs="Arial"/>
                <w:sz w:val="18"/>
                <w:szCs w:val="18"/>
                <w:lang w:val="en-US"/>
              </w:rPr>
              <w:t xml:space="preserve"> </w:t>
            </w:r>
          </w:p>
          <w:p w14:paraId="03918B3E"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majority privately owned corporate </w:t>
            </w:r>
            <w:proofErr w:type="gramStart"/>
            <w:r w:rsidRPr="00C27867">
              <w:rPr>
                <w:rFonts w:ascii="Arial" w:hAnsi="Arial" w:cs="Arial"/>
                <w:sz w:val="18"/>
                <w:szCs w:val="18"/>
                <w:lang w:val="en-US"/>
              </w:rPr>
              <w:t>investors;</w:t>
            </w:r>
            <w:proofErr w:type="gramEnd"/>
            <w:r w:rsidRPr="00C27867">
              <w:rPr>
                <w:rFonts w:ascii="Arial" w:hAnsi="Arial" w:cs="Arial"/>
                <w:sz w:val="18"/>
                <w:szCs w:val="18"/>
                <w:lang w:val="en-US"/>
              </w:rPr>
              <w:t xml:space="preserve"> </w:t>
            </w:r>
          </w:p>
          <w:p w14:paraId="01977EF4"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insurance </w:t>
            </w:r>
            <w:proofErr w:type="gramStart"/>
            <w:r w:rsidRPr="00C27867">
              <w:rPr>
                <w:rFonts w:ascii="Arial" w:hAnsi="Arial" w:cs="Arial"/>
                <w:sz w:val="18"/>
                <w:szCs w:val="18"/>
                <w:lang w:val="en-US"/>
              </w:rPr>
              <w:t>companies;</w:t>
            </w:r>
            <w:proofErr w:type="gramEnd"/>
            <w:r w:rsidRPr="00C27867">
              <w:rPr>
                <w:rFonts w:ascii="Arial" w:hAnsi="Arial" w:cs="Arial"/>
                <w:sz w:val="18"/>
                <w:szCs w:val="18"/>
                <w:lang w:val="en-US"/>
              </w:rPr>
              <w:t xml:space="preserve"> </w:t>
            </w:r>
          </w:p>
          <w:p w14:paraId="2BEDF750"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pension </w:t>
            </w:r>
            <w:proofErr w:type="gramStart"/>
            <w:r w:rsidRPr="00C27867">
              <w:rPr>
                <w:rFonts w:ascii="Arial" w:hAnsi="Arial" w:cs="Arial"/>
                <w:sz w:val="18"/>
                <w:szCs w:val="18"/>
                <w:lang w:val="en-US"/>
              </w:rPr>
              <w:t>funds;</w:t>
            </w:r>
            <w:proofErr w:type="gramEnd"/>
            <w:r w:rsidRPr="00C27867">
              <w:rPr>
                <w:rFonts w:ascii="Arial" w:hAnsi="Arial" w:cs="Arial"/>
                <w:sz w:val="18"/>
                <w:szCs w:val="18"/>
                <w:lang w:val="en-US"/>
              </w:rPr>
              <w:t xml:space="preserve"> </w:t>
            </w:r>
          </w:p>
          <w:p w14:paraId="63357308"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private </w:t>
            </w:r>
            <w:proofErr w:type="gramStart"/>
            <w:r w:rsidRPr="00C27867">
              <w:rPr>
                <w:rFonts w:ascii="Arial" w:hAnsi="Arial" w:cs="Arial"/>
                <w:sz w:val="18"/>
                <w:szCs w:val="18"/>
                <w:lang w:val="en-US"/>
              </w:rPr>
              <w:t>persons;</w:t>
            </w:r>
            <w:proofErr w:type="gramEnd"/>
            <w:r w:rsidRPr="00C27867">
              <w:rPr>
                <w:rFonts w:ascii="Arial" w:hAnsi="Arial" w:cs="Arial"/>
                <w:sz w:val="18"/>
                <w:szCs w:val="18"/>
                <w:lang w:val="en-US"/>
              </w:rPr>
              <w:t xml:space="preserve"> </w:t>
            </w:r>
          </w:p>
          <w:p w14:paraId="148ADD60" w14:textId="77777777" w:rsidR="002D2F30" w:rsidRPr="00C27867" w:rsidRDefault="002D2F30" w:rsidP="00C74CDC">
            <w:pPr>
              <w:pStyle w:val="paragraph"/>
              <w:numPr>
                <w:ilvl w:val="0"/>
                <w:numId w:val="16"/>
              </w:numPr>
              <w:spacing w:beforeLines="60" w:before="144" w:beforeAutospacing="0" w:afterLines="60" w:after="144"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academic institutions (including private research institutions and universities) investing their own resources arising from their commercial </w:t>
            </w:r>
            <w:proofErr w:type="gramStart"/>
            <w:r w:rsidRPr="00C27867">
              <w:rPr>
                <w:rFonts w:ascii="Arial" w:hAnsi="Arial" w:cs="Arial"/>
                <w:sz w:val="18"/>
                <w:szCs w:val="18"/>
                <w:lang w:val="en-US"/>
              </w:rPr>
              <w:t>activities;</w:t>
            </w:r>
            <w:proofErr w:type="gramEnd"/>
            <w:r w:rsidRPr="00C27867">
              <w:rPr>
                <w:rFonts w:ascii="Arial" w:hAnsi="Arial" w:cs="Arial"/>
                <w:sz w:val="18"/>
                <w:szCs w:val="18"/>
                <w:lang w:val="en-US"/>
              </w:rPr>
              <w:t xml:space="preserve"> </w:t>
            </w:r>
          </w:p>
          <w:p w14:paraId="4CE68965" w14:textId="2E5B7767" w:rsidR="002C00AC" w:rsidRPr="00C27867" w:rsidRDefault="002D2F30" w:rsidP="00202979">
            <w:pPr>
              <w:pStyle w:val="paragraph"/>
              <w:spacing w:before="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if they do not receive any public incentive for the purpose of investing in the AIF.</w:t>
            </w:r>
          </w:p>
        </w:tc>
      </w:tr>
      <w:tr w:rsidR="002C00AC" w:rsidRPr="00C27867" w14:paraId="3885A8DE" w14:textId="77777777" w:rsidTr="00367463">
        <w:trPr>
          <w:trHeight w:val="300"/>
        </w:trPr>
        <w:tc>
          <w:tcPr>
            <w:tcW w:w="1091" w:type="pct"/>
            <w:tcBorders>
              <w:top w:val="single" w:sz="4" w:space="0" w:color="auto"/>
            </w:tcBorders>
            <w:hideMark/>
          </w:tcPr>
          <w:p w14:paraId="6602B9C7" w14:textId="1B3C545C" w:rsidR="002C00AC" w:rsidRPr="00C27867" w:rsidRDefault="003058F8" w:rsidP="002C00AC">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lastRenderedPageBreak/>
              <w:t>Final Beneficiaries</w:t>
            </w:r>
          </w:p>
        </w:tc>
        <w:tc>
          <w:tcPr>
            <w:tcW w:w="3909" w:type="pct"/>
            <w:tcBorders>
              <w:top w:val="single" w:sz="4" w:space="0" w:color="auto"/>
            </w:tcBorders>
            <w:hideMark/>
          </w:tcPr>
          <w:p w14:paraId="119DE2DC" w14:textId="45C60C4D" w:rsidR="002C00AC" w:rsidRPr="00C27867" w:rsidRDefault="00CA4743"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b/>
                <w:bCs/>
                <w:sz w:val="18"/>
                <w:szCs w:val="18"/>
                <w:u w:val="single"/>
                <w:lang w:val="en-US"/>
              </w:rPr>
              <w:t xml:space="preserve">Eligible Final Beneficiaries </w:t>
            </w:r>
            <w:r w:rsidRPr="00C27867">
              <w:rPr>
                <w:rFonts w:ascii="Arial" w:hAnsi="Arial" w:cs="Arial"/>
                <w:sz w:val="18"/>
                <w:szCs w:val="18"/>
                <w:lang w:val="en-US"/>
              </w:rPr>
              <w:t>are companies in private or majority private ownership in the following investment stages according to the Invest Europe methodology</w:t>
            </w:r>
            <w:r w:rsidR="002C00AC" w:rsidRPr="00C27867">
              <w:rPr>
                <w:rStyle w:val="FootnoteReference"/>
                <w:rFonts w:eastAsiaTheme="majorEastAsia" w:cs="Arial"/>
                <w:sz w:val="18"/>
                <w:szCs w:val="18"/>
                <w:lang w:val="en-US"/>
              </w:rPr>
              <w:footnoteReference w:id="6"/>
            </w:r>
            <w:r w:rsidR="00C90294" w:rsidRPr="00C27867">
              <w:rPr>
                <w:rFonts w:ascii="Arial" w:hAnsi="Arial" w:cs="Arial"/>
                <w:sz w:val="18"/>
                <w:szCs w:val="18"/>
                <w:lang w:val="en-US"/>
              </w:rPr>
              <w:t>:</w:t>
            </w:r>
            <w:r w:rsidR="002C00AC" w:rsidRPr="00C27867">
              <w:rPr>
                <w:rFonts w:ascii="Arial" w:hAnsi="Arial" w:cs="Arial"/>
                <w:sz w:val="18"/>
                <w:szCs w:val="18"/>
                <w:lang w:val="en-US"/>
              </w:rPr>
              <w:t xml:space="preserve"> </w:t>
            </w:r>
          </w:p>
          <w:p w14:paraId="78D3548A" w14:textId="77777777" w:rsidR="00C66C0B" w:rsidRPr="00C27867" w:rsidRDefault="00C66C0B" w:rsidP="00C74CDC">
            <w:pPr>
              <w:pStyle w:val="paragraph"/>
              <w:numPr>
                <w:ilvl w:val="0"/>
                <w:numId w:val="1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Start-up,</w:t>
            </w:r>
          </w:p>
          <w:p w14:paraId="5E5F3960" w14:textId="77777777" w:rsidR="00C66C0B" w:rsidRPr="00C27867" w:rsidRDefault="00C66C0B" w:rsidP="00C74CDC">
            <w:pPr>
              <w:pStyle w:val="paragraph"/>
              <w:numPr>
                <w:ilvl w:val="0"/>
                <w:numId w:val="1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Later stage venture, </w:t>
            </w:r>
          </w:p>
          <w:p w14:paraId="062912D6" w14:textId="77777777" w:rsidR="00C66C0B" w:rsidRPr="00C27867" w:rsidRDefault="00C66C0B" w:rsidP="00C74CDC">
            <w:pPr>
              <w:pStyle w:val="paragraph"/>
              <w:numPr>
                <w:ilvl w:val="0"/>
                <w:numId w:val="1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Growth capital, </w:t>
            </w:r>
          </w:p>
          <w:p w14:paraId="70C451FD" w14:textId="77777777" w:rsidR="00C66C0B" w:rsidRPr="00C27867" w:rsidRDefault="00C66C0B" w:rsidP="00C74CDC">
            <w:pPr>
              <w:pStyle w:val="paragraph"/>
              <w:numPr>
                <w:ilvl w:val="0"/>
                <w:numId w:val="1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Replacement capital, </w:t>
            </w:r>
          </w:p>
          <w:p w14:paraId="368A443B" w14:textId="77777777" w:rsidR="00C66C0B" w:rsidRDefault="00C66C0B" w:rsidP="00C74CDC">
            <w:pPr>
              <w:pStyle w:val="paragraph"/>
              <w:numPr>
                <w:ilvl w:val="0"/>
                <w:numId w:val="1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Buyout.</w:t>
            </w:r>
          </w:p>
          <w:p w14:paraId="2DA85D3B" w14:textId="77777777" w:rsidR="00C1387D" w:rsidRPr="00C27867" w:rsidRDefault="00C1387D" w:rsidP="00C1387D">
            <w:pPr>
              <w:pStyle w:val="paragraph"/>
              <w:spacing w:before="60" w:beforeAutospacing="0" w:after="60" w:afterAutospacing="0" w:line="276" w:lineRule="auto"/>
              <w:ind w:left="720" w:right="86"/>
              <w:jc w:val="both"/>
              <w:rPr>
                <w:rFonts w:ascii="Arial" w:hAnsi="Arial" w:cs="Arial"/>
                <w:sz w:val="18"/>
                <w:szCs w:val="18"/>
                <w:lang w:val="en-US"/>
              </w:rPr>
            </w:pPr>
          </w:p>
          <w:p w14:paraId="520D5090" w14:textId="341D11DC" w:rsidR="002C00AC" w:rsidRPr="00C27867" w:rsidRDefault="006F5158"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Final beneficiaries</w:t>
            </w:r>
            <w:r w:rsidR="002C00AC" w:rsidRPr="00C27867">
              <w:rPr>
                <w:rFonts w:ascii="Arial" w:hAnsi="Arial" w:cs="Arial"/>
                <w:sz w:val="18"/>
                <w:szCs w:val="18"/>
                <w:lang w:val="en-US"/>
              </w:rPr>
              <w:t xml:space="preserve"> </w:t>
            </w:r>
            <w:r w:rsidR="00AA0E60" w:rsidRPr="00C27867">
              <w:rPr>
                <w:rFonts w:ascii="Arial" w:hAnsi="Arial" w:cs="Arial"/>
                <w:sz w:val="18"/>
                <w:szCs w:val="18"/>
                <w:lang w:val="en-US"/>
              </w:rPr>
              <w:t xml:space="preserve">are companies that, in the medium term (three to five years), are </w:t>
            </w:r>
            <w:r w:rsidR="00E10EF6">
              <w:rPr>
                <w:rFonts w:ascii="Arial" w:hAnsi="Arial" w:cs="Arial"/>
                <w:sz w:val="18"/>
                <w:szCs w:val="18"/>
                <w:lang w:val="en-US"/>
              </w:rPr>
              <w:t xml:space="preserve">credible </w:t>
            </w:r>
            <w:r w:rsidR="00AA0E60" w:rsidRPr="00C27867">
              <w:rPr>
                <w:rFonts w:ascii="Arial" w:hAnsi="Arial" w:cs="Arial"/>
                <w:sz w:val="18"/>
                <w:szCs w:val="18"/>
                <w:lang w:val="en-US"/>
              </w:rPr>
              <w:t>candidates for listing securities on public capital markets</w:t>
            </w:r>
            <w:r w:rsidR="002C00AC" w:rsidRPr="00C27867">
              <w:rPr>
                <w:rFonts w:ascii="Arial" w:hAnsi="Arial" w:cs="Arial"/>
                <w:sz w:val="18"/>
                <w:szCs w:val="18"/>
                <w:lang w:val="en-US"/>
              </w:rPr>
              <w:t xml:space="preserve">. </w:t>
            </w:r>
          </w:p>
          <w:p w14:paraId="65280BB8" w14:textId="77777777" w:rsidR="0045585B" w:rsidRPr="00C27867" w:rsidRDefault="0045585B" w:rsidP="00B1162E">
            <w:pPr>
              <w:pStyle w:val="paragraph"/>
              <w:spacing w:before="60" w:beforeAutospacing="0" w:after="60" w:afterAutospacing="0" w:line="276" w:lineRule="auto"/>
              <w:ind w:right="86"/>
              <w:jc w:val="both"/>
              <w:rPr>
                <w:rFonts w:ascii="Arial" w:hAnsi="Arial" w:cs="Arial"/>
                <w:sz w:val="18"/>
                <w:szCs w:val="18"/>
                <w:lang w:val="en-US"/>
              </w:rPr>
            </w:pPr>
          </w:p>
          <w:p w14:paraId="7BC76069" w14:textId="77777777" w:rsidR="002A36A6" w:rsidRPr="00C27867" w:rsidRDefault="002A36A6" w:rsidP="002A36A6">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b/>
                <w:bCs/>
                <w:sz w:val="18"/>
                <w:szCs w:val="18"/>
                <w:u w:val="single"/>
                <w:lang w:val="en-US"/>
              </w:rPr>
              <w:t>Ineligible Final Beneficiaries</w:t>
            </w:r>
            <w:r w:rsidRPr="00C27867">
              <w:rPr>
                <w:rFonts w:ascii="Arial" w:hAnsi="Arial" w:cs="Arial"/>
                <w:sz w:val="18"/>
                <w:szCs w:val="18"/>
                <w:lang w:val="en-US"/>
              </w:rPr>
              <w:t xml:space="preserve"> are those: </w:t>
            </w:r>
          </w:p>
          <w:p w14:paraId="2ACA887E" w14:textId="77777777" w:rsidR="002A36A6" w:rsidRPr="00C27867" w:rsidRDefault="002A36A6" w:rsidP="00C74CDC">
            <w:pPr>
              <w:pStyle w:val="paragraph"/>
              <w:numPr>
                <w:ilvl w:val="0"/>
                <w:numId w:val="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That carry out an activity on the List of ineligible activities</w:t>
            </w:r>
            <w:r w:rsidRPr="00C27867">
              <w:rPr>
                <w:rFonts w:ascii="Arial" w:hAnsi="Arial" w:cs="Arial"/>
                <w:sz w:val="18"/>
                <w:szCs w:val="18"/>
                <w:vertAlign w:val="superscript"/>
                <w:lang w:val="en-US"/>
              </w:rPr>
              <w:footnoteReference w:id="7"/>
            </w:r>
            <w:r w:rsidRPr="00C27867">
              <w:rPr>
                <w:rFonts w:ascii="Arial" w:hAnsi="Arial" w:cs="Arial"/>
                <w:sz w:val="18"/>
                <w:szCs w:val="18"/>
                <w:lang w:val="en-US"/>
              </w:rPr>
              <w:t xml:space="preserve">, and/or </w:t>
            </w:r>
          </w:p>
          <w:p w14:paraId="36E3166D" w14:textId="77777777" w:rsidR="002A36A6" w:rsidRPr="00C27867" w:rsidRDefault="002A36A6" w:rsidP="00C74CDC">
            <w:pPr>
              <w:pStyle w:val="paragraph"/>
              <w:numPr>
                <w:ilvl w:val="0"/>
                <w:numId w:val="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That are „undertakings in </w:t>
            </w:r>
            <w:proofErr w:type="gramStart"/>
            <w:r w:rsidRPr="00C27867">
              <w:rPr>
                <w:rFonts w:ascii="Arial" w:hAnsi="Arial" w:cs="Arial"/>
                <w:sz w:val="18"/>
                <w:szCs w:val="18"/>
                <w:lang w:val="en-US"/>
              </w:rPr>
              <w:t>difficulty“ pursuant</w:t>
            </w:r>
            <w:proofErr w:type="gramEnd"/>
            <w:r w:rsidRPr="00C27867">
              <w:rPr>
                <w:rFonts w:ascii="Arial" w:hAnsi="Arial" w:cs="Arial"/>
                <w:sz w:val="18"/>
                <w:szCs w:val="18"/>
                <w:lang w:val="en-US"/>
              </w:rPr>
              <w:t xml:space="preserve"> to the provisions of Article 2(18) of the Commission Regulation (EU) No. 651/2014</w:t>
            </w:r>
            <w:r w:rsidRPr="00C27867">
              <w:rPr>
                <w:rStyle w:val="FootnoteReference"/>
                <w:rFonts w:eastAsiaTheme="majorEastAsia" w:cs="Arial"/>
                <w:sz w:val="18"/>
                <w:szCs w:val="18"/>
                <w:lang w:val="en-US"/>
              </w:rPr>
              <w:footnoteReference w:id="8"/>
            </w:r>
            <w:r w:rsidRPr="00C27867">
              <w:rPr>
                <w:rFonts w:ascii="Arial" w:hAnsi="Arial" w:cs="Arial"/>
                <w:sz w:val="18"/>
                <w:szCs w:val="18"/>
                <w:lang w:val="en-US"/>
              </w:rPr>
              <w:t xml:space="preserve"> of 17 June 2014, and/or</w:t>
            </w:r>
          </w:p>
          <w:p w14:paraId="0942AF3B" w14:textId="40E02678" w:rsidR="002C00AC" w:rsidRPr="00C27867" w:rsidRDefault="002A36A6" w:rsidP="00C74CDC">
            <w:pPr>
              <w:pStyle w:val="paragraph"/>
              <w:numPr>
                <w:ilvl w:val="0"/>
                <w:numId w:val="7"/>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activity of which, </w:t>
            </w:r>
            <w:proofErr w:type="gramStart"/>
            <w:r w:rsidRPr="00C27867">
              <w:rPr>
                <w:rFonts w:ascii="Arial" w:hAnsi="Arial" w:cs="Arial"/>
                <w:sz w:val="18"/>
                <w:szCs w:val="18"/>
                <w:lang w:val="en-US"/>
              </w:rPr>
              <w:t>at the moment</w:t>
            </w:r>
            <w:proofErr w:type="gramEnd"/>
            <w:r w:rsidRPr="00C27867">
              <w:rPr>
                <w:rFonts w:ascii="Arial" w:hAnsi="Arial" w:cs="Arial"/>
                <w:sz w:val="18"/>
                <w:szCs w:val="18"/>
                <w:lang w:val="en-US"/>
              </w:rPr>
              <w:t xml:space="preserve"> of the AIF’s investment, constitutes a violation of restrictive measures (</w:t>
            </w:r>
            <w:r w:rsidRPr="00C27867">
              <w:rPr>
                <w:rFonts w:ascii="Arial" w:hAnsi="Arial" w:cs="Arial"/>
                <w:i/>
                <w:iCs/>
                <w:sz w:val="18"/>
                <w:szCs w:val="18"/>
                <w:lang w:val="en-US"/>
              </w:rPr>
              <w:t>Restricted Person</w:t>
            </w:r>
            <w:r w:rsidRPr="00C27867">
              <w:rPr>
                <w:rFonts w:ascii="Arial" w:hAnsi="Arial" w:cs="Arial"/>
                <w:sz w:val="18"/>
                <w:szCs w:val="18"/>
                <w:lang w:val="en-US"/>
              </w:rPr>
              <w:t>).</w:t>
            </w:r>
          </w:p>
          <w:p w14:paraId="5E492E64" w14:textId="374B679F" w:rsidR="002C00AC" w:rsidRPr="00C27867" w:rsidRDefault="00B171F7"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HBOR reserves the right to amend or supplement the List of ineligible activities. The List of ineligible activities, including any subsequent amendments and supplements, shall</w:t>
            </w:r>
            <w:r w:rsidR="00530072" w:rsidRPr="00C27867">
              <w:rPr>
                <w:rFonts w:ascii="Arial" w:hAnsi="Arial" w:cs="Arial"/>
                <w:sz w:val="18"/>
                <w:szCs w:val="18"/>
                <w:lang w:val="en-US"/>
              </w:rPr>
              <w:t xml:space="preserve"> be published on HBOR’s website.</w:t>
            </w:r>
          </w:p>
        </w:tc>
      </w:tr>
      <w:tr w:rsidR="002C00AC" w:rsidRPr="00C27867" w14:paraId="0E434122" w14:textId="77777777" w:rsidTr="00367463">
        <w:trPr>
          <w:trHeight w:val="300"/>
        </w:trPr>
        <w:tc>
          <w:tcPr>
            <w:tcW w:w="1091" w:type="pct"/>
            <w:tcBorders>
              <w:top w:val="single" w:sz="4" w:space="0" w:color="auto"/>
            </w:tcBorders>
          </w:tcPr>
          <w:p w14:paraId="7AAC0DC2" w14:textId="1951B5AB" w:rsidR="002C00AC" w:rsidRPr="00C27867" w:rsidRDefault="00343D6B" w:rsidP="002C00AC">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ab/>
              <w:t>Visibility</w:t>
            </w:r>
          </w:p>
        </w:tc>
        <w:tc>
          <w:tcPr>
            <w:tcW w:w="3909" w:type="pct"/>
            <w:tcBorders>
              <w:top w:val="single" w:sz="4" w:space="0" w:color="auto"/>
            </w:tcBorders>
            <w:vAlign w:val="center"/>
          </w:tcPr>
          <w:p w14:paraId="65D5A29A" w14:textId="77777777" w:rsidR="00FC61F6" w:rsidRPr="00C27867" w:rsidRDefault="00FC61F6" w:rsidP="00FC61F6">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In communication about the investment, Financial Intermediaries and Final Beneficiaries will be required to prominently display the visibility sign of the source of financing. During negotiations with Financial Intermediaries, the form and manner of displaying the source of financing will be determined. </w:t>
            </w:r>
          </w:p>
          <w:p w14:paraId="40E78E1A" w14:textId="48690F88" w:rsidR="002C00AC" w:rsidRPr="00C27867" w:rsidRDefault="00FC61F6" w:rsidP="00FC61F6">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The Financial Intermediary will be obliged to embed in the contractual documentation with Final Beneficiaries the provisions relating to visibility.</w:t>
            </w:r>
          </w:p>
        </w:tc>
      </w:tr>
      <w:tr w:rsidR="002C00AC" w:rsidRPr="00C27867" w14:paraId="7819A77B" w14:textId="77777777" w:rsidTr="00367463">
        <w:trPr>
          <w:trHeight w:val="300"/>
        </w:trPr>
        <w:tc>
          <w:tcPr>
            <w:tcW w:w="1091" w:type="pct"/>
            <w:tcBorders>
              <w:top w:val="single" w:sz="4" w:space="0" w:color="auto"/>
              <w:bottom w:val="single" w:sz="4" w:space="0" w:color="auto"/>
            </w:tcBorders>
            <w:vAlign w:val="center"/>
          </w:tcPr>
          <w:p w14:paraId="452665FB" w14:textId="4323BC9A" w:rsidR="002C00AC" w:rsidRPr="00C27867" w:rsidRDefault="007326D2" w:rsidP="00384F00">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Investment Objectives</w:t>
            </w:r>
          </w:p>
        </w:tc>
        <w:tc>
          <w:tcPr>
            <w:tcW w:w="3909" w:type="pct"/>
            <w:tcBorders>
              <w:top w:val="single" w:sz="4" w:space="0" w:color="auto"/>
              <w:bottom w:val="single" w:sz="4" w:space="0" w:color="auto"/>
            </w:tcBorders>
            <w:vAlign w:val="center"/>
          </w:tcPr>
          <w:p w14:paraId="6D232399" w14:textId="5F950ED0" w:rsidR="002C00AC" w:rsidRPr="00C27867" w:rsidRDefault="00086845"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Investments of the AIF shall aim to increase the listing of securities on public capital markets.</w:t>
            </w:r>
          </w:p>
        </w:tc>
      </w:tr>
      <w:tr w:rsidR="002C00AC" w:rsidRPr="00C27867" w14:paraId="3285633B" w14:textId="77777777" w:rsidTr="00367463">
        <w:trPr>
          <w:trHeight w:val="300"/>
        </w:trPr>
        <w:tc>
          <w:tcPr>
            <w:tcW w:w="1091" w:type="pct"/>
            <w:tcBorders>
              <w:top w:val="single" w:sz="4" w:space="0" w:color="auto"/>
              <w:bottom w:val="single" w:sz="4" w:space="0" w:color="auto"/>
            </w:tcBorders>
            <w:hideMark/>
          </w:tcPr>
          <w:p w14:paraId="718017B2" w14:textId="2804144A" w:rsidR="002C00AC" w:rsidRPr="00C27867" w:rsidRDefault="00811B44" w:rsidP="00367463">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lastRenderedPageBreak/>
              <w:t>Purpose and Manner of Investment</w:t>
            </w:r>
          </w:p>
        </w:tc>
        <w:tc>
          <w:tcPr>
            <w:tcW w:w="3909" w:type="pct"/>
            <w:tcBorders>
              <w:top w:val="single" w:sz="4" w:space="0" w:color="auto"/>
              <w:bottom w:val="single" w:sz="4" w:space="0" w:color="auto"/>
            </w:tcBorders>
            <w:hideMark/>
          </w:tcPr>
          <w:p w14:paraId="78E1CD7C" w14:textId="77777777" w:rsidR="00CB5AEB" w:rsidRPr="00C27867" w:rsidRDefault="00CB5AEB"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Equity and quasi-equity investments in Final Beneficiaries through AIFs managed by the Financial Intermediary (including structures that include holding companies managed by the Financial Intermediary). </w:t>
            </w:r>
          </w:p>
          <w:p w14:paraId="240F6F09" w14:textId="16C2A986" w:rsidR="002C00AC" w:rsidRPr="00C27867" w:rsidRDefault="00141936"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investment strategy of the Financial Intermediary should aim at investments that will contribute to strengthening internal capacities, corporate governance and the financial position of Final Beneficiaries so that, during the period </w:t>
            </w:r>
            <w:r w:rsidR="00136362">
              <w:rPr>
                <w:rFonts w:ascii="Arial" w:hAnsi="Arial" w:cs="Arial"/>
                <w:sz w:val="18"/>
                <w:szCs w:val="18"/>
                <w:lang w:val="en-US"/>
              </w:rPr>
              <w:t xml:space="preserve">that </w:t>
            </w:r>
            <w:r w:rsidRPr="00C27867">
              <w:rPr>
                <w:rFonts w:ascii="Arial" w:hAnsi="Arial" w:cs="Arial"/>
                <w:sz w:val="18"/>
                <w:szCs w:val="18"/>
                <w:lang w:val="en-US"/>
              </w:rPr>
              <w:t>the Financial Intermediary</w:t>
            </w:r>
            <w:r w:rsidR="00CA728E">
              <w:rPr>
                <w:rFonts w:ascii="Arial" w:hAnsi="Arial" w:cs="Arial"/>
                <w:sz w:val="18"/>
                <w:szCs w:val="18"/>
                <w:lang w:val="en-US"/>
              </w:rPr>
              <w:t xml:space="preserve"> is holding the investment is such </w:t>
            </w:r>
            <w:r w:rsidR="00F3541D">
              <w:rPr>
                <w:rFonts w:ascii="Arial" w:hAnsi="Arial" w:cs="Arial"/>
                <w:sz w:val="18"/>
                <w:szCs w:val="18"/>
                <w:lang w:val="en-US"/>
              </w:rPr>
              <w:t>Financial Beneficiary, they</w:t>
            </w:r>
            <w:r w:rsidR="002C00AC" w:rsidRPr="00C27867">
              <w:rPr>
                <w:rFonts w:ascii="Arial" w:hAnsi="Arial" w:cs="Arial"/>
                <w:sz w:val="18"/>
                <w:szCs w:val="18"/>
                <w:lang w:val="en-US"/>
              </w:rPr>
              <w:t>:</w:t>
            </w:r>
          </w:p>
          <w:p w14:paraId="39609FEF" w14:textId="72656C41" w:rsidR="0069128C" w:rsidRPr="00C27867" w:rsidRDefault="0069128C" w:rsidP="00C74CDC">
            <w:pPr>
              <w:pStyle w:val="paragraph"/>
              <w:numPr>
                <w:ilvl w:val="1"/>
                <w:numId w:val="11"/>
              </w:numPr>
              <w:spacing w:before="60" w:beforeAutospacing="0" w:after="60" w:afterAutospacing="0" w:line="276" w:lineRule="auto"/>
              <w:ind w:left="264" w:right="86" w:firstLine="0"/>
              <w:jc w:val="both"/>
              <w:rPr>
                <w:rFonts w:ascii="Arial" w:hAnsi="Arial" w:cs="Arial"/>
                <w:sz w:val="18"/>
                <w:szCs w:val="18"/>
                <w:lang w:val="en-US"/>
              </w:rPr>
            </w:pPr>
            <w:r w:rsidRPr="00C27867">
              <w:rPr>
                <w:rFonts w:ascii="Arial" w:hAnsi="Arial" w:cs="Arial"/>
                <w:sz w:val="18"/>
                <w:szCs w:val="18"/>
                <w:lang w:val="en-US"/>
              </w:rPr>
              <w:t xml:space="preserve">meet the </w:t>
            </w:r>
            <w:r w:rsidR="002F17EF" w:rsidRPr="00C27867">
              <w:rPr>
                <w:rFonts w:ascii="Arial" w:hAnsi="Arial" w:cs="Arial"/>
                <w:sz w:val="18"/>
                <w:szCs w:val="18"/>
                <w:lang w:val="en-US"/>
              </w:rPr>
              <w:t>criteria</w:t>
            </w:r>
            <w:r w:rsidRPr="00C27867">
              <w:rPr>
                <w:rFonts w:ascii="Arial" w:hAnsi="Arial" w:cs="Arial"/>
                <w:sz w:val="18"/>
                <w:szCs w:val="18"/>
                <w:lang w:val="en-US"/>
              </w:rPr>
              <w:t xml:space="preserve"> for listing securities on public capital markets; and</w:t>
            </w:r>
          </w:p>
          <w:p w14:paraId="0BACAD99" w14:textId="672FC000" w:rsidR="002C00AC" w:rsidRPr="00C27867" w:rsidRDefault="00BD3D87" w:rsidP="00C74CDC">
            <w:pPr>
              <w:pStyle w:val="paragraph"/>
              <w:numPr>
                <w:ilvl w:val="1"/>
                <w:numId w:val="11"/>
              </w:numPr>
              <w:spacing w:before="60" w:beforeAutospacing="0" w:after="60" w:afterAutospacing="0" w:line="276" w:lineRule="auto"/>
              <w:ind w:left="264" w:right="86" w:firstLine="0"/>
              <w:jc w:val="both"/>
              <w:rPr>
                <w:rFonts w:ascii="Arial" w:hAnsi="Arial" w:cs="Arial"/>
                <w:sz w:val="18"/>
                <w:szCs w:val="18"/>
                <w:lang w:val="en-US"/>
              </w:rPr>
            </w:pPr>
            <w:r w:rsidRPr="00C27867">
              <w:rPr>
                <w:rFonts w:ascii="Arial" w:hAnsi="Arial" w:cs="Arial"/>
                <w:sz w:val="18"/>
                <w:szCs w:val="18"/>
                <w:lang w:val="en-US"/>
              </w:rPr>
              <w:t>carry out the listing of securities on public capital markets</w:t>
            </w:r>
            <w:r w:rsidR="002C00AC" w:rsidRPr="00C27867">
              <w:rPr>
                <w:rFonts w:ascii="Arial" w:hAnsi="Arial" w:cs="Arial"/>
                <w:sz w:val="18"/>
                <w:szCs w:val="18"/>
                <w:lang w:val="en-US"/>
              </w:rPr>
              <w:t>.</w:t>
            </w:r>
          </w:p>
          <w:p w14:paraId="77FFFC77" w14:textId="06075135" w:rsidR="002C00AC" w:rsidRPr="00C27867" w:rsidRDefault="006D3CB2"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Investment in companies </w:t>
            </w:r>
            <w:proofErr w:type="gramStart"/>
            <w:r w:rsidRPr="00C27867">
              <w:rPr>
                <w:rFonts w:ascii="Arial" w:hAnsi="Arial" w:cs="Arial"/>
                <w:sz w:val="18"/>
                <w:szCs w:val="18"/>
                <w:lang w:val="en-US"/>
              </w:rPr>
              <w:t>at the moment</w:t>
            </w:r>
            <w:proofErr w:type="gramEnd"/>
            <w:r w:rsidRPr="00C27867">
              <w:rPr>
                <w:rFonts w:ascii="Arial" w:hAnsi="Arial" w:cs="Arial"/>
                <w:sz w:val="18"/>
                <w:szCs w:val="18"/>
                <w:lang w:val="en-US"/>
              </w:rPr>
              <w:t xml:space="preserve"> of listing of securities on public capital markets is not permitted.</w:t>
            </w:r>
          </w:p>
        </w:tc>
      </w:tr>
      <w:tr w:rsidR="002C00AC" w:rsidRPr="00C27867" w14:paraId="46D1C986" w14:textId="77777777" w:rsidTr="00367463">
        <w:trPr>
          <w:trHeight w:val="300"/>
        </w:trPr>
        <w:tc>
          <w:tcPr>
            <w:tcW w:w="1091" w:type="pct"/>
            <w:tcBorders>
              <w:top w:val="single" w:sz="4" w:space="0" w:color="auto"/>
              <w:bottom w:val="single" w:sz="4" w:space="0" w:color="auto"/>
            </w:tcBorders>
          </w:tcPr>
          <w:p w14:paraId="423CADF8" w14:textId="2AAF9A7B" w:rsidR="002C00AC" w:rsidRPr="00C27867" w:rsidRDefault="0065695C" w:rsidP="00367463">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Exit strategy</w:t>
            </w:r>
          </w:p>
        </w:tc>
        <w:tc>
          <w:tcPr>
            <w:tcW w:w="3909" w:type="pct"/>
            <w:tcBorders>
              <w:top w:val="single" w:sz="4" w:space="0" w:color="auto"/>
              <w:bottom w:val="single" w:sz="4" w:space="0" w:color="auto"/>
            </w:tcBorders>
          </w:tcPr>
          <w:p w14:paraId="2CEACD46" w14:textId="6C34AA0A" w:rsidR="002C00AC" w:rsidRPr="00C27867" w:rsidRDefault="002F6D72"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The primary exit strategy of the Financial Intermediary from investments in Final Beneficiaries is the gradual sale of securities listed on public capital markets after one year from listing</w:t>
            </w:r>
            <w:r w:rsidR="002C00AC" w:rsidRPr="00C27867">
              <w:rPr>
                <w:rFonts w:ascii="Arial" w:hAnsi="Arial" w:cs="Arial"/>
                <w:sz w:val="18"/>
                <w:szCs w:val="18"/>
                <w:lang w:val="en-US"/>
              </w:rPr>
              <w:t xml:space="preserve">. </w:t>
            </w:r>
          </w:p>
        </w:tc>
      </w:tr>
      <w:tr w:rsidR="002C00AC" w:rsidRPr="00C27867" w14:paraId="2B0242B1" w14:textId="77777777" w:rsidTr="00367463">
        <w:trPr>
          <w:trHeight w:val="300"/>
        </w:trPr>
        <w:tc>
          <w:tcPr>
            <w:tcW w:w="1091" w:type="pct"/>
            <w:tcBorders>
              <w:top w:val="single" w:sz="4" w:space="0" w:color="auto"/>
              <w:bottom w:val="single" w:sz="4" w:space="0" w:color="auto"/>
            </w:tcBorders>
            <w:hideMark/>
          </w:tcPr>
          <w:p w14:paraId="792D0460" w14:textId="42C54539" w:rsidR="002C00AC" w:rsidRPr="00C27867" w:rsidRDefault="000254F1" w:rsidP="00C11DE8">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Fees and Expenses</w:t>
            </w:r>
          </w:p>
        </w:tc>
        <w:tc>
          <w:tcPr>
            <w:tcW w:w="3909" w:type="pct"/>
            <w:tcBorders>
              <w:top w:val="single" w:sz="4" w:space="0" w:color="auto"/>
              <w:bottom w:val="single" w:sz="4" w:space="0" w:color="auto"/>
            </w:tcBorders>
            <w:hideMark/>
          </w:tcPr>
          <w:p w14:paraId="4F0DC9E4" w14:textId="3B3806A8" w:rsidR="002C00AC" w:rsidRPr="00C27867" w:rsidRDefault="000A5637" w:rsidP="00B1162E">
            <w:pPr>
              <w:pStyle w:val="paragraph"/>
              <w:spacing w:before="60" w:beforeAutospacing="0" w:after="60" w:afterAutospacing="0" w:line="276" w:lineRule="auto"/>
              <w:ind w:right="86"/>
              <w:jc w:val="both"/>
              <w:rPr>
                <w:rFonts w:ascii="Arial" w:hAnsi="Arial" w:cs="Arial"/>
                <w:sz w:val="18"/>
                <w:szCs w:val="18"/>
                <w:lang w:val="en-US"/>
              </w:rPr>
            </w:pPr>
            <w:proofErr w:type="gramStart"/>
            <w:r w:rsidRPr="00C27867">
              <w:rPr>
                <w:rFonts w:ascii="Arial" w:hAnsi="Arial" w:cs="Arial"/>
                <w:sz w:val="18"/>
                <w:szCs w:val="18"/>
                <w:lang w:val="en-US"/>
              </w:rPr>
              <w:t>Investor's</w:t>
            </w:r>
            <w:proofErr w:type="gramEnd"/>
            <w:r w:rsidRPr="00C27867">
              <w:rPr>
                <w:rFonts w:ascii="Arial" w:hAnsi="Arial" w:cs="Arial"/>
                <w:sz w:val="18"/>
                <w:szCs w:val="18"/>
                <w:lang w:val="en-US"/>
              </w:rPr>
              <w:t xml:space="preserve"> commitment to the AIF should include the amount for the investments in Final Beneficiaries, as well as the amount covering management costs and other costs associated with AIF</w:t>
            </w:r>
            <w:r w:rsidR="002C00AC" w:rsidRPr="00C27867">
              <w:rPr>
                <w:rFonts w:ascii="Arial" w:hAnsi="Arial" w:cs="Arial"/>
                <w:sz w:val="18"/>
                <w:szCs w:val="18"/>
                <w:lang w:val="en-US"/>
              </w:rPr>
              <w:t>. </w:t>
            </w:r>
          </w:p>
          <w:p w14:paraId="5F0702C6" w14:textId="073EED73" w:rsidR="002C00AC" w:rsidRPr="00C27867" w:rsidRDefault="00B94075"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The Carried Interest shall depend on the success of the Financial Intermediary in listing the securities of Final Beneficiaries on public capital markets</w:t>
            </w:r>
            <w:r w:rsidR="00111A71" w:rsidRPr="00C27867">
              <w:rPr>
                <w:rFonts w:ascii="Arial" w:hAnsi="Arial" w:cs="Arial"/>
                <w:sz w:val="18"/>
                <w:szCs w:val="18"/>
                <w:lang w:val="en-US"/>
              </w:rPr>
              <w:t>.</w:t>
            </w:r>
          </w:p>
        </w:tc>
      </w:tr>
      <w:tr w:rsidR="002C00AC" w:rsidRPr="00C27867" w14:paraId="7A7370FE" w14:textId="77777777" w:rsidTr="006348BF">
        <w:trPr>
          <w:trHeight w:val="300"/>
        </w:trPr>
        <w:tc>
          <w:tcPr>
            <w:tcW w:w="1091" w:type="pct"/>
            <w:tcBorders>
              <w:top w:val="single" w:sz="4" w:space="0" w:color="auto"/>
              <w:bottom w:val="single" w:sz="4" w:space="0" w:color="auto"/>
            </w:tcBorders>
            <w:hideMark/>
          </w:tcPr>
          <w:p w14:paraId="10C55533" w14:textId="7D8E6554" w:rsidR="002C00AC" w:rsidRPr="00C27867" w:rsidRDefault="00367463" w:rsidP="00C11DE8">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Implementation Period</w:t>
            </w:r>
          </w:p>
        </w:tc>
        <w:tc>
          <w:tcPr>
            <w:tcW w:w="3909" w:type="pct"/>
            <w:tcBorders>
              <w:top w:val="single" w:sz="4" w:space="0" w:color="auto"/>
              <w:bottom w:val="single" w:sz="4" w:space="0" w:color="auto"/>
            </w:tcBorders>
            <w:vAlign w:val="center"/>
            <w:hideMark/>
          </w:tcPr>
          <w:p w14:paraId="3B099A5B" w14:textId="355BE4A8" w:rsidR="002C00AC" w:rsidRPr="00C27867" w:rsidRDefault="006348BF"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w:t>
            </w:r>
            <w:proofErr w:type="spellStart"/>
            <w:r w:rsidRPr="00C27867">
              <w:rPr>
                <w:rFonts w:ascii="Arial" w:hAnsi="Arial" w:cs="Arial"/>
                <w:sz w:val="18"/>
                <w:szCs w:val="18"/>
                <w:lang w:val="en-US"/>
              </w:rPr>
              <w:t>Programme</w:t>
            </w:r>
            <w:proofErr w:type="spellEnd"/>
            <w:r w:rsidRPr="00C27867">
              <w:rPr>
                <w:rFonts w:ascii="Arial" w:hAnsi="Arial" w:cs="Arial"/>
                <w:sz w:val="18"/>
                <w:szCs w:val="18"/>
                <w:lang w:val="en-US"/>
              </w:rPr>
              <w:t xml:space="preserve"> Implementation Period is until the funds have been </w:t>
            </w:r>
            <w:r w:rsidR="005B3B05" w:rsidRPr="00C27867">
              <w:rPr>
                <w:rFonts w:ascii="Arial" w:hAnsi="Arial" w:cs="Arial"/>
                <w:sz w:val="18"/>
                <w:szCs w:val="18"/>
                <w:lang w:val="en-US"/>
              </w:rPr>
              <w:t>exhausted</w:t>
            </w:r>
            <w:r w:rsidR="002C00AC" w:rsidRPr="00C27867">
              <w:rPr>
                <w:rFonts w:ascii="Arial" w:hAnsi="Arial" w:cs="Arial"/>
                <w:sz w:val="18"/>
                <w:szCs w:val="18"/>
                <w:lang w:val="en-US"/>
              </w:rPr>
              <w:t>. </w:t>
            </w:r>
          </w:p>
        </w:tc>
      </w:tr>
      <w:tr w:rsidR="002C00AC" w:rsidRPr="00C27867" w14:paraId="71175D1F" w14:textId="77777777" w:rsidTr="005A2FD0">
        <w:trPr>
          <w:trHeight w:val="300"/>
        </w:trPr>
        <w:tc>
          <w:tcPr>
            <w:tcW w:w="1091" w:type="pct"/>
            <w:tcBorders>
              <w:top w:val="single" w:sz="4" w:space="0" w:color="auto"/>
              <w:bottom w:val="single" w:sz="4" w:space="0" w:color="auto"/>
            </w:tcBorders>
            <w:hideMark/>
          </w:tcPr>
          <w:p w14:paraId="39C2BB9B" w14:textId="6B6BD646" w:rsidR="002C00AC" w:rsidRPr="00C27867" w:rsidRDefault="009C597F" w:rsidP="009C597F">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ab/>
              <w:t>Miscellaneous</w:t>
            </w:r>
          </w:p>
        </w:tc>
        <w:tc>
          <w:tcPr>
            <w:tcW w:w="3909" w:type="pct"/>
            <w:tcBorders>
              <w:top w:val="single" w:sz="4" w:space="0" w:color="auto"/>
              <w:bottom w:val="single" w:sz="4" w:space="0" w:color="auto"/>
            </w:tcBorders>
            <w:vAlign w:val="center"/>
            <w:hideMark/>
          </w:tcPr>
          <w:p w14:paraId="677240FE" w14:textId="77777777" w:rsidR="005A2FD0" w:rsidRPr="00C27867" w:rsidRDefault="005A2FD0" w:rsidP="005A2FD0">
            <w:pPr>
              <w:pStyle w:val="paragraph"/>
              <w:spacing w:before="60" w:after="6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contractual documentation </w:t>
            </w:r>
            <w:proofErr w:type="gramStart"/>
            <w:r w:rsidRPr="00C27867">
              <w:rPr>
                <w:rFonts w:ascii="Arial" w:hAnsi="Arial" w:cs="Arial"/>
                <w:sz w:val="18"/>
                <w:szCs w:val="18"/>
                <w:lang w:val="en-US"/>
              </w:rPr>
              <w:t>on the basis of</w:t>
            </w:r>
            <w:proofErr w:type="gramEnd"/>
            <w:r w:rsidRPr="00C27867">
              <w:rPr>
                <w:rFonts w:ascii="Arial" w:hAnsi="Arial" w:cs="Arial"/>
                <w:sz w:val="18"/>
                <w:szCs w:val="18"/>
                <w:lang w:val="en-US"/>
              </w:rPr>
              <w:t xml:space="preserve"> which HBOR will commit to the AIF will include provisions on:  </w:t>
            </w:r>
          </w:p>
          <w:p w14:paraId="25343A60" w14:textId="77777777" w:rsidR="005A2FD0" w:rsidRPr="00C27867" w:rsidRDefault="005A2FD0" w:rsidP="00C74CDC">
            <w:pPr>
              <w:pStyle w:val="paragraph"/>
              <w:numPr>
                <w:ilvl w:val="0"/>
                <w:numId w:val="5"/>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HBOR’s rights to inspect AIF documentation necessary for monitoring and reviewing the use of HBOR </w:t>
            </w:r>
            <w:proofErr w:type="gramStart"/>
            <w:r w:rsidRPr="00C27867">
              <w:rPr>
                <w:rFonts w:ascii="Arial" w:hAnsi="Arial" w:cs="Arial"/>
                <w:sz w:val="18"/>
                <w:szCs w:val="18"/>
                <w:lang w:val="en-US"/>
              </w:rPr>
              <w:t>funds;</w:t>
            </w:r>
            <w:proofErr w:type="gramEnd"/>
            <w:r w:rsidRPr="00C27867">
              <w:rPr>
                <w:rFonts w:ascii="Arial" w:hAnsi="Arial" w:cs="Arial"/>
                <w:sz w:val="18"/>
                <w:szCs w:val="18"/>
                <w:lang w:val="en-US"/>
              </w:rPr>
              <w:t xml:space="preserve"> </w:t>
            </w:r>
          </w:p>
          <w:p w14:paraId="5FB03024" w14:textId="77777777" w:rsidR="005A2FD0" w:rsidRPr="00C27867" w:rsidRDefault="005A2FD0" w:rsidP="00C74CDC">
            <w:pPr>
              <w:pStyle w:val="paragraph"/>
              <w:numPr>
                <w:ilvl w:val="0"/>
                <w:numId w:val="5"/>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obligation to keep the records related to the use of HBOR </w:t>
            </w:r>
            <w:proofErr w:type="gramStart"/>
            <w:r w:rsidRPr="00C27867">
              <w:rPr>
                <w:rFonts w:ascii="Arial" w:hAnsi="Arial" w:cs="Arial"/>
                <w:sz w:val="18"/>
                <w:szCs w:val="18"/>
                <w:lang w:val="en-US"/>
              </w:rPr>
              <w:t>funds;</w:t>
            </w:r>
            <w:proofErr w:type="gramEnd"/>
            <w:r w:rsidRPr="00C27867">
              <w:rPr>
                <w:rFonts w:ascii="Arial" w:hAnsi="Arial" w:cs="Arial"/>
                <w:sz w:val="18"/>
                <w:szCs w:val="18"/>
                <w:lang w:val="en-US"/>
              </w:rPr>
              <w:t xml:space="preserve"> </w:t>
            </w:r>
          </w:p>
          <w:p w14:paraId="0533C8EC" w14:textId="77777777" w:rsidR="005A2FD0" w:rsidRPr="00C27867" w:rsidRDefault="005A2FD0" w:rsidP="00C74CDC">
            <w:pPr>
              <w:pStyle w:val="paragraph"/>
              <w:numPr>
                <w:ilvl w:val="0"/>
                <w:numId w:val="5"/>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requirements related to </w:t>
            </w:r>
            <w:proofErr w:type="gramStart"/>
            <w:r w:rsidRPr="00C27867">
              <w:rPr>
                <w:rFonts w:ascii="Arial" w:hAnsi="Arial" w:cs="Arial"/>
                <w:sz w:val="18"/>
                <w:szCs w:val="18"/>
                <w:lang w:val="en-US"/>
              </w:rPr>
              <w:t>Visibility;</w:t>
            </w:r>
            <w:proofErr w:type="gramEnd"/>
            <w:r w:rsidRPr="00C27867">
              <w:rPr>
                <w:rFonts w:ascii="Arial" w:hAnsi="Arial" w:cs="Arial"/>
                <w:sz w:val="18"/>
                <w:szCs w:val="18"/>
                <w:lang w:val="en-US"/>
              </w:rPr>
              <w:t xml:space="preserve"> </w:t>
            </w:r>
          </w:p>
          <w:p w14:paraId="0903C7DF" w14:textId="2EAFB22B" w:rsidR="002C00AC" w:rsidRPr="00C27867" w:rsidRDefault="005A2FD0" w:rsidP="00C74CDC">
            <w:pPr>
              <w:pStyle w:val="paragraph"/>
              <w:numPr>
                <w:ilvl w:val="0"/>
                <w:numId w:val="5"/>
              </w:numPr>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the possibility of transferring HBOR’s share in AIF to other </w:t>
            </w:r>
            <w:proofErr w:type="gramStart"/>
            <w:r w:rsidRPr="00C27867">
              <w:rPr>
                <w:rFonts w:ascii="Arial" w:hAnsi="Arial" w:cs="Arial"/>
                <w:sz w:val="18"/>
                <w:szCs w:val="18"/>
                <w:lang w:val="en-US"/>
              </w:rPr>
              <w:t>persons</w:t>
            </w:r>
            <w:proofErr w:type="gramEnd"/>
            <w:r w:rsidRPr="00C27867">
              <w:rPr>
                <w:rFonts w:ascii="Arial" w:hAnsi="Arial" w:cs="Arial"/>
                <w:sz w:val="18"/>
                <w:szCs w:val="18"/>
                <w:lang w:val="en-US"/>
              </w:rPr>
              <w:t xml:space="preserve"> upon HBOR’s request</w:t>
            </w:r>
          </w:p>
        </w:tc>
      </w:tr>
      <w:tr w:rsidR="002C00AC" w:rsidRPr="00C27867" w14:paraId="2E9E52C2" w14:textId="77777777" w:rsidTr="00367463">
        <w:trPr>
          <w:trHeight w:val="300"/>
        </w:trPr>
        <w:tc>
          <w:tcPr>
            <w:tcW w:w="1091" w:type="pct"/>
            <w:tcBorders>
              <w:top w:val="single" w:sz="4" w:space="0" w:color="auto"/>
            </w:tcBorders>
            <w:hideMark/>
          </w:tcPr>
          <w:p w14:paraId="285C676C" w14:textId="67269293" w:rsidR="002C00AC" w:rsidRPr="00C27867" w:rsidRDefault="00242A65" w:rsidP="00242A65">
            <w:pPr>
              <w:pStyle w:val="paragraph"/>
              <w:numPr>
                <w:ilvl w:val="0"/>
                <w:numId w:val="4"/>
              </w:numPr>
              <w:spacing w:before="120" w:beforeAutospacing="0" w:after="0" w:afterAutospacing="0" w:line="276" w:lineRule="auto"/>
              <w:ind w:left="714" w:hanging="357"/>
              <w:rPr>
                <w:rFonts w:ascii="Arial" w:hAnsi="Arial" w:cs="Arial"/>
                <w:b/>
                <w:bCs/>
                <w:sz w:val="18"/>
                <w:szCs w:val="18"/>
                <w:lang w:val="en-US"/>
              </w:rPr>
            </w:pPr>
            <w:r w:rsidRPr="00C27867">
              <w:rPr>
                <w:rFonts w:ascii="Arial" w:hAnsi="Arial" w:cs="Arial"/>
                <w:b/>
                <w:bCs/>
                <w:sz w:val="18"/>
                <w:szCs w:val="18"/>
                <w:lang w:val="en-US"/>
              </w:rPr>
              <w:t>Related documentation / Enclosures</w:t>
            </w:r>
          </w:p>
        </w:tc>
        <w:tc>
          <w:tcPr>
            <w:tcW w:w="3909" w:type="pct"/>
            <w:tcBorders>
              <w:top w:val="single" w:sz="4" w:space="0" w:color="auto"/>
            </w:tcBorders>
            <w:hideMark/>
          </w:tcPr>
          <w:p w14:paraId="4CA41828" w14:textId="77777777" w:rsidR="005F3358" w:rsidRPr="00C27867" w:rsidRDefault="008F0AB9"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General Eligibility Criteria for Equity and Quasi-Equity Funding Instruments, available  </w:t>
            </w:r>
            <w:hyperlink r:id="rId15" w:history="1">
              <w:hyperlink r:id="rId16" w:history="1">
                <w:r w:rsidRPr="00C27867">
                  <w:rPr>
                    <w:rStyle w:val="Hyperlink"/>
                    <w:rFonts w:ascii="Arial" w:hAnsi="Arial" w:cs="Arial"/>
                    <w:sz w:val="18"/>
                    <w:szCs w:val="18"/>
                    <w:lang w:val="en-US"/>
                  </w:rPr>
                  <w:t>here</w:t>
                </w:r>
              </w:hyperlink>
            </w:hyperlink>
            <w:r w:rsidR="002C00AC" w:rsidRPr="00C27867">
              <w:rPr>
                <w:rFonts w:ascii="Arial" w:hAnsi="Arial" w:cs="Arial"/>
                <w:sz w:val="18"/>
                <w:szCs w:val="18"/>
                <w:lang w:val="en-US"/>
              </w:rPr>
              <w:t>. </w:t>
            </w:r>
            <w:r w:rsidR="005F3358" w:rsidRPr="00C27867">
              <w:rPr>
                <w:rFonts w:ascii="Arial" w:hAnsi="Arial" w:cs="Arial"/>
                <w:sz w:val="18"/>
                <w:szCs w:val="18"/>
                <w:lang w:val="en-US"/>
              </w:rPr>
              <w:t xml:space="preserve"> </w:t>
            </w:r>
          </w:p>
          <w:p w14:paraId="03E62176" w14:textId="01FC71BD" w:rsidR="002C00AC" w:rsidRPr="00C27867" w:rsidRDefault="005F3358" w:rsidP="00B1162E">
            <w:pPr>
              <w:pStyle w:val="paragraph"/>
              <w:spacing w:before="60" w:beforeAutospacing="0" w:after="60" w:afterAutospacing="0" w:line="276" w:lineRule="auto"/>
              <w:ind w:right="86"/>
              <w:jc w:val="both"/>
              <w:rPr>
                <w:rFonts w:ascii="Arial" w:hAnsi="Arial" w:cs="Arial"/>
                <w:sz w:val="18"/>
                <w:szCs w:val="18"/>
                <w:lang w:val="en-US"/>
              </w:rPr>
            </w:pPr>
            <w:r w:rsidRPr="00C27867">
              <w:rPr>
                <w:rFonts w:ascii="Arial" w:hAnsi="Arial" w:cs="Arial"/>
                <w:sz w:val="18"/>
                <w:szCs w:val="18"/>
                <w:lang w:val="en-US"/>
              </w:rPr>
              <w:t xml:space="preserve">Policy for Investments in Equity and Quasi-Equity, available </w:t>
            </w:r>
            <w:hyperlink r:id="rId17" w:history="1">
              <w:r w:rsidRPr="00C27867">
                <w:rPr>
                  <w:rStyle w:val="Hyperlink"/>
                  <w:rFonts w:ascii="Arial" w:hAnsi="Arial" w:cs="Arial"/>
                  <w:sz w:val="18"/>
                  <w:szCs w:val="18"/>
                  <w:lang w:val="en-US"/>
                </w:rPr>
                <w:t>here</w:t>
              </w:r>
            </w:hyperlink>
            <w:r w:rsidRPr="00C27867">
              <w:rPr>
                <w:rFonts w:ascii="Arial" w:hAnsi="Arial" w:cs="Arial"/>
                <w:sz w:val="18"/>
                <w:szCs w:val="18"/>
                <w:lang w:val="en-US"/>
              </w:rPr>
              <w:t>.</w:t>
            </w:r>
          </w:p>
        </w:tc>
      </w:tr>
    </w:tbl>
    <w:p w14:paraId="06ADD93F" w14:textId="77777777" w:rsidR="008314C4" w:rsidRPr="00C27867" w:rsidRDefault="008314C4" w:rsidP="002A3770">
      <w:pPr>
        <w:rPr>
          <w:color w:val="EE0000"/>
          <w:lang w:val="en-US"/>
        </w:rPr>
      </w:pPr>
    </w:p>
    <w:p w14:paraId="6E9AED78" w14:textId="77777777" w:rsidR="00D26B2F" w:rsidRPr="00C27867" w:rsidRDefault="00D26B2F" w:rsidP="002A3770">
      <w:pPr>
        <w:rPr>
          <w:color w:val="EE0000"/>
          <w:lang w:val="en-US"/>
        </w:rPr>
      </w:pPr>
    </w:p>
    <w:p w14:paraId="7CD19C77" w14:textId="189679B0" w:rsidR="00E3693B" w:rsidRPr="00C27867" w:rsidRDefault="00F3493D" w:rsidP="00696AC1">
      <w:pPr>
        <w:pStyle w:val="Heading1"/>
        <w:numPr>
          <w:ilvl w:val="0"/>
          <w:numId w:val="1"/>
        </w:numPr>
        <w:spacing w:after="120" w:line="276" w:lineRule="auto"/>
        <w:rPr>
          <w:color w:val="EE0000"/>
          <w:lang w:val="en-US"/>
        </w:rPr>
      </w:pPr>
      <w:bookmarkStart w:id="4" w:name="_Toc230164071"/>
      <w:r w:rsidRPr="00C27867">
        <w:rPr>
          <w:rFonts w:cs="Arial"/>
          <w:sz w:val="22"/>
          <w:lang w:val="en-US"/>
        </w:rPr>
        <w:t>SUBMISSION OF INVESTMENT OPPORTUNITY</w:t>
      </w:r>
      <w:bookmarkEnd w:id="4"/>
    </w:p>
    <w:p w14:paraId="3ECBACEE" w14:textId="23D3281B" w:rsidR="00C64574" w:rsidRPr="00C27867" w:rsidRDefault="00C64574" w:rsidP="00C64574">
      <w:pPr>
        <w:spacing w:before="120" w:after="120" w:line="276" w:lineRule="auto"/>
        <w:jc w:val="both"/>
        <w:rPr>
          <w:rFonts w:cs="Arial"/>
          <w:lang w:val="en-US"/>
        </w:rPr>
      </w:pPr>
      <w:r w:rsidRPr="00C27867">
        <w:rPr>
          <w:lang w:val="en-US"/>
        </w:rPr>
        <w:t xml:space="preserve">Applicants must submit their Investment Opportunity to the e-mail address: </w:t>
      </w:r>
      <w:hyperlink r:id="rId18" w:history="1">
        <w:r w:rsidRPr="00C27867">
          <w:rPr>
            <w:rStyle w:val="Hyperlink"/>
            <w:rFonts w:cs="Arial"/>
            <w:lang w:val="en-US"/>
          </w:rPr>
          <w:t>equity-origination@hbor.hr</w:t>
        </w:r>
      </w:hyperlink>
      <w:r w:rsidRPr="00C27867">
        <w:rPr>
          <w:rFonts w:cs="Arial"/>
          <w:lang w:val="en-US"/>
        </w:rPr>
        <w:t>.</w:t>
      </w:r>
    </w:p>
    <w:p w14:paraId="7E3012E3" w14:textId="6A4A33C9" w:rsidR="00C64574" w:rsidRPr="00C27867" w:rsidRDefault="00C64574" w:rsidP="00C64574">
      <w:pPr>
        <w:spacing w:before="120" w:after="120" w:line="276" w:lineRule="auto"/>
        <w:jc w:val="both"/>
        <w:rPr>
          <w:lang w:val="en-US"/>
        </w:rPr>
      </w:pPr>
      <w:r w:rsidRPr="00C27867">
        <w:rPr>
          <w:lang w:val="en-US"/>
        </w:rPr>
        <w:t xml:space="preserve">The deadline for submitting Applications, i.e. Investment Opportunities is </w:t>
      </w:r>
      <w:r w:rsidRPr="00C27867">
        <w:rPr>
          <w:b/>
          <w:bCs/>
          <w:lang w:val="en-US"/>
        </w:rPr>
        <w:t>31</w:t>
      </w:r>
      <w:r w:rsidR="002C5620">
        <w:rPr>
          <w:b/>
          <w:bCs/>
          <w:lang w:val="en-US"/>
        </w:rPr>
        <w:t xml:space="preserve"> </w:t>
      </w:r>
      <w:r w:rsidRPr="00C27867">
        <w:rPr>
          <w:b/>
          <w:bCs/>
          <w:lang w:val="en-US"/>
        </w:rPr>
        <w:t xml:space="preserve">August 2026, </w:t>
      </w:r>
      <w:r w:rsidR="008363E1" w:rsidRPr="00C27867">
        <w:rPr>
          <w:b/>
          <w:bCs/>
          <w:lang w:val="en-US"/>
        </w:rPr>
        <w:t>until 11:59 PM</w:t>
      </w:r>
      <w:r w:rsidR="003268E5" w:rsidRPr="00C27867">
        <w:rPr>
          <w:b/>
          <w:bCs/>
          <w:lang w:val="en-US"/>
        </w:rPr>
        <w:t xml:space="preserve"> (CET, Zagreb, Croatia)</w:t>
      </w:r>
      <w:r w:rsidR="003268E5" w:rsidRPr="00C27867">
        <w:rPr>
          <w:lang w:val="en-US"/>
        </w:rPr>
        <w:t>.</w:t>
      </w:r>
    </w:p>
    <w:p w14:paraId="26B5EB66" w14:textId="77777777" w:rsidR="00C64574" w:rsidRPr="005B3B05" w:rsidRDefault="00C64574" w:rsidP="00C64574">
      <w:pPr>
        <w:spacing w:before="120" w:after="120" w:line="276" w:lineRule="auto"/>
        <w:jc w:val="both"/>
        <w:rPr>
          <w:lang w:val="en-US"/>
        </w:rPr>
      </w:pPr>
      <w:r w:rsidRPr="005B3B05">
        <w:rPr>
          <w:lang w:val="en-US"/>
        </w:rPr>
        <w:t>Investment Opportunity can be submitted either in Croatian or in English.</w:t>
      </w:r>
    </w:p>
    <w:p w14:paraId="2C145FBA" w14:textId="77777777" w:rsidR="00C64574" w:rsidRPr="005B3B05" w:rsidRDefault="00C64574" w:rsidP="00C64574">
      <w:pPr>
        <w:spacing w:before="120" w:after="120" w:line="276" w:lineRule="auto"/>
        <w:jc w:val="both"/>
        <w:rPr>
          <w:lang w:val="en-US"/>
        </w:rPr>
      </w:pPr>
      <w:r w:rsidRPr="005B3B05">
        <w:rPr>
          <w:lang w:val="en-US"/>
        </w:rPr>
        <w:t>Applicants must complete and sign the Statement of Applicant (</w:t>
      </w:r>
      <w:r w:rsidRPr="005B3B05">
        <w:rPr>
          <w:i/>
          <w:iCs/>
          <w:u w:val="single"/>
          <w:lang w:val="en-US"/>
        </w:rPr>
        <w:t>Schedule 1</w:t>
      </w:r>
      <w:r w:rsidRPr="005B3B05">
        <w:rPr>
          <w:lang w:val="en-US"/>
        </w:rPr>
        <w:t>) confirming that they do not fulfil any of the mentioned exclusion criteria.</w:t>
      </w:r>
    </w:p>
    <w:p w14:paraId="24A93AD6" w14:textId="44EE2C08" w:rsidR="00C64574" w:rsidRPr="005B3B05" w:rsidRDefault="00C64574" w:rsidP="00C64574">
      <w:pPr>
        <w:spacing w:before="120" w:after="120" w:line="276" w:lineRule="auto"/>
        <w:jc w:val="both"/>
        <w:rPr>
          <w:lang w:val="en-US"/>
        </w:rPr>
      </w:pPr>
      <w:r w:rsidRPr="005B3B05">
        <w:rPr>
          <w:lang w:val="en-US"/>
        </w:rPr>
        <w:t xml:space="preserve">The Applicant is responsible for preparing and submitting a presentation of its Investment Opportunity in a manner it deems most effective. While the structure and format of the presentation are not strictly defined, the content must include key information on the </w:t>
      </w:r>
      <w:proofErr w:type="gramStart"/>
      <w:r w:rsidRPr="005B3B05">
        <w:rPr>
          <w:lang w:val="en-US"/>
        </w:rPr>
        <w:t>market context</w:t>
      </w:r>
      <w:proofErr w:type="gramEnd"/>
      <w:r w:rsidRPr="005B3B05">
        <w:rPr>
          <w:lang w:val="en-US"/>
        </w:rPr>
        <w:t xml:space="preserve">, investment strategy, the </w:t>
      </w:r>
      <w:r w:rsidR="00A07BE0" w:rsidRPr="005B3B05">
        <w:rPr>
          <w:lang w:val="en-US"/>
        </w:rPr>
        <w:t>management company</w:t>
      </w:r>
      <w:r w:rsidRPr="005B3B05">
        <w:rPr>
          <w:lang w:val="en-US"/>
        </w:rPr>
        <w:t xml:space="preserve"> </w:t>
      </w:r>
      <w:r w:rsidRPr="005B3B05">
        <w:rPr>
          <w:lang w:val="en-US"/>
        </w:rPr>
        <w:lastRenderedPageBreak/>
        <w:t xml:space="preserve">and other relevant aspects. For detailed guidance on the expected content, Applicants should refer to </w:t>
      </w:r>
      <w:r w:rsidR="0013779C" w:rsidRPr="005B3B05">
        <w:rPr>
          <w:lang w:val="en-US"/>
        </w:rPr>
        <w:t>Investment Opportunity Description (</w:t>
      </w:r>
      <w:r w:rsidRPr="005B3B05">
        <w:rPr>
          <w:i/>
          <w:iCs/>
          <w:u w:val="single"/>
          <w:lang w:val="en-US"/>
        </w:rPr>
        <w:t>Schedule 2</w:t>
      </w:r>
      <w:r w:rsidR="0013779C" w:rsidRPr="005B3B05">
        <w:rPr>
          <w:i/>
          <w:iCs/>
          <w:lang w:val="en-US"/>
        </w:rPr>
        <w:t>)</w:t>
      </w:r>
      <w:r w:rsidR="0013779C" w:rsidRPr="005B3B05">
        <w:rPr>
          <w:lang w:val="en-US"/>
        </w:rPr>
        <w:t xml:space="preserve"> </w:t>
      </w:r>
      <w:r w:rsidRPr="005B3B05">
        <w:rPr>
          <w:lang w:val="en-US"/>
        </w:rPr>
        <w:t>of this Call.</w:t>
      </w:r>
    </w:p>
    <w:p w14:paraId="0B42FC89" w14:textId="77777777" w:rsidR="00C64574" w:rsidRPr="00C27867" w:rsidRDefault="00C64574" w:rsidP="00C64574">
      <w:pPr>
        <w:spacing w:before="120" w:after="120" w:line="276" w:lineRule="auto"/>
        <w:jc w:val="both"/>
        <w:rPr>
          <w:lang w:val="en-US"/>
        </w:rPr>
      </w:pPr>
      <w:r w:rsidRPr="005B3B05">
        <w:rPr>
          <w:lang w:val="en-US"/>
        </w:rPr>
        <w:t>Upon receipt of the Investment Opportunity, HBOR will confirm the receipt and conduct</w:t>
      </w:r>
      <w:r w:rsidRPr="00C27867">
        <w:rPr>
          <w:lang w:val="en-US"/>
        </w:rPr>
        <w:t xml:space="preserve"> an initial review to verify whether the submission contains all the necessary information required for the preliminary assessment. If the documentation is complete, further steps of the selection process will be continued.</w:t>
      </w:r>
    </w:p>
    <w:p w14:paraId="4B468806" w14:textId="7017B936" w:rsidR="009007F4" w:rsidRPr="00C27867" w:rsidRDefault="00C84B64" w:rsidP="00696AC1">
      <w:pPr>
        <w:pStyle w:val="Heading1"/>
        <w:numPr>
          <w:ilvl w:val="0"/>
          <w:numId w:val="1"/>
        </w:numPr>
        <w:spacing w:after="120" w:line="276" w:lineRule="auto"/>
        <w:rPr>
          <w:rFonts w:cs="Arial"/>
          <w:sz w:val="22"/>
          <w:lang w:val="en-US"/>
        </w:rPr>
      </w:pPr>
      <w:bookmarkStart w:id="5" w:name="_Toc229658550"/>
      <w:bookmarkStart w:id="6" w:name="_Toc229658551"/>
      <w:bookmarkStart w:id="7" w:name="_Toc229480261"/>
      <w:bookmarkStart w:id="8" w:name="_Toc229480445"/>
      <w:bookmarkStart w:id="9" w:name="_Toc229658552"/>
      <w:bookmarkStart w:id="10" w:name="_Toc229480262"/>
      <w:bookmarkStart w:id="11" w:name="_Toc229480446"/>
      <w:bookmarkStart w:id="12" w:name="_Toc229658553"/>
      <w:bookmarkStart w:id="13" w:name="_Toc230164072"/>
      <w:bookmarkEnd w:id="5"/>
      <w:bookmarkEnd w:id="6"/>
      <w:bookmarkEnd w:id="7"/>
      <w:bookmarkEnd w:id="8"/>
      <w:bookmarkEnd w:id="9"/>
      <w:bookmarkEnd w:id="10"/>
      <w:bookmarkEnd w:id="11"/>
      <w:bookmarkEnd w:id="12"/>
      <w:r w:rsidRPr="00C27867">
        <w:rPr>
          <w:rFonts w:cs="Arial"/>
          <w:sz w:val="22"/>
          <w:lang w:val="en-US"/>
        </w:rPr>
        <w:t>SELECTION PROCESS</w:t>
      </w:r>
      <w:bookmarkEnd w:id="13"/>
    </w:p>
    <w:p w14:paraId="7FDB21E1" w14:textId="27C867E9" w:rsidR="00302B50" w:rsidRPr="00C27867" w:rsidRDefault="005A55DD" w:rsidP="00E3693B">
      <w:pPr>
        <w:rPr>
          <w:lang w:val="en-US"/>
        </w:rPr>
      </w:pPr>
      <w:r w:rsidRPr="00C27867">
        <w:rPr>
          <w:lang w:val="en-US"/>
        </w:rPr>
        <w:t>Financial Intermediary shall be selected based on HBOR’s policies, rules, methodologies and other internal acts, in line with best market practices, through an open, transparent, proportionate, non-discriminatory and objective selection process.</w:t>
      </w:r>
    </w:p>
    <w:p w14:paraId="3EC507C8" w14:textId="77777777" w:rsidR="005A55DD" w:rsidRPr="00C27867" w:rsidRDefault="005A55DD" w:rsidP="00E3693B">
      <w:pPr>
        <w:rPr>
          <w:lang w:val="en-US"/>
        </w:rPr>
      </w:pPr>
    </w:p>
    <w:p w14:paraId="3733AC74" w14:textId="11DA814B" w:rsidR="00E241A9" w:rsidRPr="00C27867" w:rsidRDefault="00E241A9" w:rsidP="006965F1">
      <w:pPr>
        <w:spacing w:after="120" w:line="276" w:lineRule="auto"/>
        <w:jc w:val="both"/>
        <w:rPr>
          <w:rFonts w:cs="Arial"/>
          <w:lang w:val="en-US"/>
        </w:rPr>
      </w:pPr>
      <w:r w:rsidRPr="00C27867">
        <w:rPr>
          <w:rFonts w:cs="Arial"/>
          <w:lang w:val="en-US"/>
        </w:rPr>
        <w:t xml:space="preserve">Selection process </w:t>
      </w:r>
      <w:proofErr w:type="gramStart"/>
      <w:r w:rsidRPr="00C27867">
        <w:rPr>
          <w:rFonts w:cs="Arial"/>
          <w:lang w:val="en-US"/>
        </w:rPr>
        <w:t>of</w:t>
      </w:r>
      <w:proofErr w:type="gramEnd"/>
      <w:r w:rsidRPr="00C27867">
        <w:rPr>
          <w:rFonts w:cs="Arial"/>
          <w:lang w:val="en-US"/>
        </w:rPr>
        <w:t xml:space="preserve"> Financial Intermediary is implemented through the following steps: </w:t>
      </w:r>
    </w:p>
    <w:p w14:paraId="7ED59877" w14:textId="77777777" w:rsidR="008A52C2" w:rsidRPr="00C27867" w:rsidRDefault="008A52C2" w:rsidP="008A52C2">
      <w:pPr>
        <w:spacing w:after="120" w:line="276" w:lineRule="auto"/>
        <w:jc w:val="both"/>
        <w:rPr>
          <w:rFonts w:cs="Arial"/>
          <w:i/>
          <w:iCs/>
          <w:u w:val="single"/>
          <w:lang w:val="en-US"/>
        </w:rPr>
      </w:pPr>
      <w:r w:rsidRPr="00C27867">
        <w:rPr>
          <w:rFonts w:cs="Arial"/>
          <w:i/>
          <w:iCs/>
          <w:u w:val="single"/>
          <w:lang w:val="en-US"/>
        </w:rPr>
        <w:t>Step 1. Preliminary assessment</w:t>
      </w:r>
    </w:p>
    <w:p w14:paraId="63470DE1" w14:textId="77777777" w:rsidR="008A52C2" w:rsidRPr="00C27867" w:rsidRDefault="008A52C2" w:rsidP="008A52C2">
      <w:pPr>
        <w:spacing w:after="120" w:line="276" w:lineRule="auto"/>
        <w:jc w:val="both"/>
        <w:rPr>
          <w:rFonts w:cs="Arial"/>
          <w:lang w:val="en-US"/>
        </w:rPr>
      </w:pPr>
      <w:r w:rsidRPr="00C27867">
        <w:rPr>
          <w:rFonts w:cs="Arial"/>
          <w:lang w:val="en-US"/>
        </w:rPr>
        <w:t xml:space="preserve">Preliminary assessment includes an evaluation of the content provided in the submitted Investment Opportunity. </w:t>
      </w:r>
    </w:p>
    <w:p w14:paraId="37EC6C4C" w14:textId="77777777" w:rsidR="008A52C2" w:rsidRPr="00C27867" w:rsidRDefault="008A52C2" w:rsidP="008A52C2">
      <w:pPr>
        <w:spacing w:after="120" w:line="276" w:lineRule="auto"/>
        <w:jc w:val="both"/>
        <w:rPr>
          <w:rFonts w:cs="Arial"/>
          <w:lang w:val="en-US"/>
        </w:rPr>
      </w:pPr>
      <w:r w:rsidRPr="00C27867">
        <w:rPr>
          <w:rFonts w:cs="Arial"/>
          <w:lang w:val="en-US"/>
        </w:rPr>
        <w:t xml:space="preserve">Investment Opportunities that contain </w:t>
      </w:r>
      <w:r w:rsidRPr="00C27867">
        <w:rPr>
          <w:rFonts w:cs="Arial"/>
          <w:b/>
          <w:bCs/>
          <w:lang w:val="en-US"/>
        </w:rPr>
        <w:t>all elements prescribed by the Call</w:t>
      </w:r>
      <w:r w:rsidRPr="00C27867">
        <w:rPr>
          <w:rFonts w:cs="Arial"/>
          <w:lang w:val="en-US"/>
        </w:rPr>
        <w:t xml:space="preserve"> will proceed to the next stage of the selection process. </w:t>
      </w:r>
    </w:p>
    <w:p w14:paraId="5DF85537" w14:textId="0403673F" w:rsidR="008A52C2" w:rsidRPr="00C27867" w:rsidRDefault="008A52C2" w:rsidP="008A52C2">
      <w:pPr>
        <w:spacing w:after="120" w:line="276" w:lineRule="auto"/>
        <w:jc w:val="both"/>
        <w:rPr>
          <w:rFonts w:cs="Arial"/>
          <w:u w:val="single"/>
          <w:lang w:val="en-US"/>
        </w:rPr>
      </w:pPr>
      <w:r w:rsidRPr="00C27867">
        <w:rPr>
          <w:rFonts w:cs="Arial"/>
          <w:lang w:val="en-US"/>
        </w:rPr>
        <w:t xml:space="preserve">If it is determined that certain information in an individual Investment Opportunity is unclear or that additional explanations are required, </w:t>
      </w:r>
      <w:r w:rsidRPr="00C27867">
        <w:rPr>
          <w:rFonts w:cs="Arial"/>
          <w:u w:val="single"/>
          <w:lang w:val="en-US"/>
        </w:rPr>
        <w:t>HBOR will request the necessary clarifications, specifying a deadline for their submission.</w:t>
      </w:r>
    </w:p>
    <w:p w14:paraId="1D66D7A2" w14:textId="289AAA58" w:rsidR="00706412" w:rsidRPr="00C27867" w:rsidRDefault="00EA52F0" w:rsidP="00706412">
      <w:pPr>
        <w:spacing w:after="120" w:line="276" w:lineRule="auto"/>
        <w:jc w:val="both"/>
        <w:rPr>
          <w:rFonts w:cs="Arial"/>
          <w:i/>
          <w:iCs/>
          <w:u w:val="single"/>
          <w:lang w:val="en-US"/>
        </w:rPr>
      </w:pPr>
      <w:r w:rsidRPr="00C27867">
        <w:rPr>
          <w:rFonts w:cs="Arial"/>
          <w:i/>
          <w:iCs/>
          <w:u w:val="single"/>
          <w:lang w:val="en-US"/>
        </w:rPr>
        <w:t>Step 2. M</w:t>
      </w:r>
      <w:r w:rsidR="00706412">
        <w:rPr>
          <w:rFonts w:cs="Arial"/>
          <w:i/>
          <w:iCs/>
          <w:u w:val="single"/>
          <w:lang w:val="en-US"/>
        </w:rPr>
        <w:t>eeting the t</w:t>
      </w:r>
      <w:r w:rsidRPr="00C27867">
        <w:rPr>
          <w:rFonts w:cs="Arial"/>
          <w:i/>
          <w:iCs/>
          <w:u w:val="single"/>
          <w:lang w:val="en-US"/>
        </w:rPr>
        <w:t xml:space="preserve">eam </w:t>
      </w:r>
    </w:p>
    <w:p w14:paraId="6A72A2AC" w14:textId="215FCA77" w:rsidR="00EA52F0" w:rsidRPr="00C27867" w:rsidRDefault="00EA52F0" w:rsidP="00EA52F0">
      <w:pPr>
        <w:spacing w:after="120" w:line="276" w:lineRule="auto"/>
        <w:jc w:val="both"/>
        <w:rPr>
          <w:rFonts w:cs="Arial"/>
          <w:lang w:val="en-US"/>
        </w:rPr>
      </w:pPr>
      <w:r w:rsidRPr="00C27867">
        <w:rPr>
          <w:rFonts w:cs="Arial"/>
          <w:lang w:val="en-US"/>
        </w:rPr>
        <w:t xml:space="preserve">If it is determined that the Investment Opportunity meets the criteria of this Call, the </w:t>
      </w:r>
      <w:proofErr w:type="spellStart"/>
      <w:r w:rsidRPr="00C27867">
        <w:rPr>
          <w:rFonts w:cs="Arial"/>
          <w:lang w:val="en-US"/>
        </w:rPr>
        <w:t>Programme</w:t>
      </w:r>
      <w:proofErr w:type="spellEnd"/>
      <w:r w:rsidRPr="00C27867">
        <w:rPr>
          <w:rFonts w:cs="Arial"/>
          <w:lang w:val="en-US"/>
        </w:rPr>
        <w:t xml:space="preserve"> and the Investment Policy</w:t>
      </w:r>
      <w:r w:rsidR="002D5691" w:rsidRPr="00C27867">
        <w:rPr>
          <w:rStyle w:val="FootnoteReference"/>
          <w:rFonts w:cs="Arial"/>
          <w:lang w:val="en-US"/>
        </w:rPr>
        <w:footnoteReference w:id="9"/>
      </w:r>
      <w:r w:rsidRPr="00C27867">
        <w:rPr>
          <w:rFonts w:cs="Arial"/>
          <w:lang w:val="en-US"/>
        </w:rPr>
        <w:t xml:space="preserve">, </w:t>
      </w:r>
      <w:r w:rsidRPr="00C27867">
        <w:rPr>
          <w:rFonts w:cs="Arial"/>
          <w:b/>
          <w:bCs/>
          <w:lang w:val="en-US"/>
        </w:rPr>
        <w:t xml:space="preserve">a meeting with </w:t>
      </w:r>
      <w:r w:rsidR="00A30A25">
        <w:rPr>
          <w:rFonts w:cs="Arial"/>
          <w:b/>
          <w:bCs/>
          <w:lang w:val="en-US"/>
        </w:rPr>
        <w:t>a</w:t>
      </w:r>
      <w:r w:rsidRPr="00C27867">
        <w:rPr>
          <w:rFonts w:cs="Arial"/>
          <w:b/>
          <w:bCs/>
          <w:lang w:val="en-US"/>
        </w:rPr>
        <w:t xml:space="preserve"> </w:t>
      </w:r>
      <w:r w:rsidR="003350AE">
        <w:rPr>
          <w:rFonts w:cs="Arial"/>
          <w:b/>
          <w:bCs/>
          <w:lang w:val="en-US"/>
        </w:rPr>
        <w:t>t</w:t>
      </w:r>
      <w:r w:rsidRPr="00C27867">
        <w:rPr>
          <w:rFonts w:cs="Arial"/>
          <w:b/>
          <w:bCs/>
          <w:lang w:val="en-US"/>
        </w:rPr>
        <w:t>eam</w:t>
      </w:r>
      <w:r w:rsidRPr="00C27867">
        <w:rPr>
          <w:rFonts w:cs="Arial"/>
          <w:lang w:val="en-US"/>
        </w:rPr>
        <w:t xml:space="preserve"> will be scheduled to assess the </w:t>
      </w:r>
      <w:r w:rsidR="00706412">
        <w:rPr>
          <w:rFonts w:cs="Arial"/>
          <w:lang w:val="en-US"/>
        </w:rPr>
        <w:t>t</w:t>
      </w:r>
      <w:r w:rsidRPr="00C27867">
        <w:rPr>
          <w:rFonts w:cs="Arial"/>
          <w:lang w:val="en-US"/>
        </w:rPr>
        <w:t xml:space="preserve">eam. In exceptional cases, the meeting may be conducted via videoconference. </w:t>
      </w:r>
    </w:p>
    <w:p w14:paraId="4AD787CF" w14:textId="67CED74A" w:rsidR="00EA52F0" w:rsidRPr="00C27867" w:rsidRDefault="00EA52F0" w:rsidP="00EA52F0">
      <w:pPr>
        <w:spacing w:after="120" w:line="276" w:lineRule="auto"/>
        <w:jc w:val="both"/>
        <w:rPr>
          <w:rFonts w:cs="Arial"/>
          <w:lang w:val="en-US"/>
        </w:rPr>
      </w:pPr>
      <w:r w:rsidRPr="00C27867">
        <w:rPr>
          <w:rFonts w:cs="Arial"/>
          <w:lang w:val="en-US"/>
        </w:rPr>
        <w:t xml:space="preserve">During the meeting, the </w:t>
      </w:r>
      <w:r w:rsidR="00706412">
        <w:rPr>
          <w:rFonts w:cs="Arial"/>
          <w:lang w:val="en-US"/>
        </w:rPr>
        <w:t>t</w:t>
      </w:r>
      <w:r w:rsidRPr="00C27867">
        <w:rPr>
          <w:rFonts w:cs="Arial"/>
          <w:lang w:val="en-US"/>
        </w:rPr>
        <w:t xml:space="preserve">eam will present the submitted Investment Opportunity, and HBOR will provide an overview of the next steps in the selection process. The purpose of the meeting is to become acquainted with the </w:t>
      </w:r>
      <w:r w:rsidR="00706412">
        <w:rPr>
          <w:rFonts w:cs="Arial"/>
          <w:lang w:val="en-US"/>
        </w:rPr>
        <w:t>t</w:t>
      </w:r>
      <w:r w:rsidR="00B91144" w:rsidRPr="00C27867">
        <w:rPr>
          <w:rFonts w:cs="Arial"/>
          <w:lang w:val="en-US"/>
        </w:rPr>
        <w:t>eam,</w:t>
      </w:r>
      <w:r w:rsidRPr="00C27867">
        <w:rPr>
          <w:rFonts w:cs="Arial"/>
          <w:lang w:val="en-US"/>
        </w:rPr>
        <w:t xml:space="preserve"> including their experience, qualifications, internal dynamics decision-making methods, and the key parameters of the proposed AIF.</w:t>
      </w:r>
    </w:p>
    <w:p w14:paraId="6D1D9A46" w14:textId="2F110806" w:rsidR="0065003B" w:rsidRPr="00C27867" w:rsidRDefault="00EA52F0" w:rsidP="00EA52F0">
      <w:pPr>
        <w:spacing w:after="120" w:line="276" w:lineRule="auto"/>
        <w:jc w:val="both"/>
        <w:rPr>
          <w:rFonts w:cs="Arial"/>
          <w:lang w:val="en-US"/>
        </w:rPr>
      </w:pPr>
      <w:r w:rsidRPr="00C27867">
        <w:rPr>
          <w:rFonts w:cs="Arial"/>
          <w:lang w:val="en-US"/>
        </w:rPr>
        <w:t xml:space="preserve">Following the meeting, HBOR will continue the selection process with the </w:t>
      </w:r>
      <w:r w:rsidR="00706412">
        <w:rPr>
          <w:rFonts w:cs="Arial"/>
          <w:lang w:val="en-US"/>
        </w:rPr>
        <w:t>t</w:t>
      </w:r>
      <w:r w:rsidRPr="00C27867">
        <w:rPr>
          <w:rFonts w:cs="Arial"/>
          <w:lang w:val="en-US"/>
        </w:rPr>
        <w:t xml:space="preserve">eams that have been positively evaluated. Teams that are not selected to proceed will be formally notified. However, HBOR reserves the right to resume the selection process with these teams within the next 12 months, if circumstances require (e.g., withdrawal of a previously selected </w:t>
      </w:r>
      <w:r w:rsidR="00706412">
        <w:rPr>
          <w:rFonts w:cs="Arial"/>
          <w:lang w:val="en-US"/>
        </w:rPr>
        <w:t>t</w:t>
      </w:r>
      <w:r w:rsidRPr="00C27867">
        <w:rPr>
          <w:rFonts w:cs="Arial"/>
          <w:lang w:val="en-US"/>
        </w:rPr>
        <w:t>eam or similar situations).</w:t>
      </w:r>
    </w:p>
    <w:p w14:paraId="254F1C80" w14:textId="77777777" w:rsidR="00281394" w:rsidRPr="00281394" w:rsidRDefault="00281394" w:rsidP="00281394">
      <w:pPr>
        <w:spacing w:after="120" w:line="276" w:lineRule="auto"/>
        <w:jc w:val="both"/>
        <w:rPr>
          <w:rFonts w:cs="Arial"/>
          <w:i/>
          <w:iCs/>
          <w:u w:val="single"/>
          <w:lang w:val="en-US"/>
        </w:rPr>
      </w:pPr>
      <w:r w:rsidRPr="00281394">
        <w:rPr>
          <w:rFonts w:cs="Arial"/>
          <w:i/>
          <w:iCs/>
          <w:u w:val="single"/>
          <w:lang w:val="en-US"/>
        </w:rPr>
        <w:t>Step 3. Due diligence</w:t>
      </w:r>
    </w:p>
    <w:p w14:paraId="67052640" w14:textId="3B771AAB" w:rsidR="00281394" w:rsidRPr="00281394" w:rsidRDefault="00281394" w:rsidP="00281394">
      <w:pPr>
        <w:spacing w:after="120" w:line="276" w:lineRule="auto"/>
        <w:jc w:val="both"/>
        <w:rPr>
          <w:rFonts w:cs="Arial"/>
          <w:lang w:val="en-US"/>
        </w:rPr>
      </w:pPr>
      <w:proofErr w:type="gramStart"/>
      <w:r w:rsidRPr="00281394">
        <w:rPr>
          <w:rFonts w:cs="Arial"/>
          <w:lang w:val="en-US"/>
        </w:rPr>
        <w:t>For the purpose of</w:t>
      </w:r>
      <w:proofErr w:type="gramEnd"/>
      <w:r w:rsidRPr="00281394">
        <w:rPr>
          <w:rFonts w:cs="Arial"/>
          <w:lang w:val="en-US"/>
        </w:rPr>
        <w:t xml:space="preserve"> due diligence, potential </w:t>
      </w:r>
      <w:r w:rsidR="00706412">
        <w:rPr>
          <w:rFonts w:cs="Arial"/>
          <w:lang w:val="en-US"/>
        </w:rPr>
        <w:t>t</w:t>
      </w:r>
      <w:r w:rsidRPr="00281394">
        <w:rPr>
          <w:rFonts w:cs="Arial"/>
          <w:lang w:val="en-US"/>
        </w:rPr>
        <w:t xml:space="preserve">eams will be provided with a </w:t>
      </w:r>
      <w:r w:rsidRPr="00281394">
        <w:rPr>
          <w:rFonts w:cs="Arial"/>
          <w:b/>
          <w:bCs/>
          <w:lang w:val="en-US"/>
        </w:rPr>
        <w:t>questionnaire along with a list of required documents to be submitted</w:t>
      </w:r>
      <w:r w:rsidRPr="00281394">
        <w:rPr>
          <w:rFonts w:cs="Arial"/>
          <w:lang w:val="en-US"/>
        </w:rPr>
        <w:t xml:space="preserve">. Upon receipt, the documentation is reviewed and </w:t>
      </w:r>
      <w:proofErr w:type="spellStart"/>
      <w:r w:rsidRPr="00281394">
        <w:rPr>
          <w:rFonts w:cs="Arial"/>
          <w:lang w:val="en-US"/>
        </w:rPr>
        <w:t>analysed</w:t>
      </w:r>
      <w:proofErr w:type="spellEnd"/>
      <w:r w:rsidRPr="00281394">
        <w:rPr>
          <w:rFonts w:cs="Arial"/>
          <w:lang w:val="en-US"/>
        </w:rPr>
        <w:t xml:space="preserve"> internally. Following the completion of this analysis, </w:t>
      </w:r>
      <w:r w:rsidRPr="00281394">
        <w:rPr>
          <w:rFonts w:cs="Arial"/>
          <w:b/>
          <w:bCs/>
          <w:lang w:val="en-US"/>
        </w:rPr>
        <w:t xml:space="preserve">a visit to the </w:t>
      </w:r>
      <w:r w:rsidR="00706412">
        <w:rPr>
          <w:rFonts w:cs="Arial"/>
          <w:b/>
          <w:bCs/>
          <w:lang w:val="en-US"/>
        </w:rPr>
        <w:t>t</w:t>
      </w:r>
      <w:r w:rsidRPr="00281394">
        <w:rPr>
          <w:rFonts w:cs="Arial"/>
          <w:b/>
          <w:bCs/>
          <w:lang w:val="en-US"/>
        </w:rPr>
        <w:t>eam’s premises</w:t>
      </w:r>
      <w:r w:rsidRPr="00281394">
        <w:rPr>
          <w:rFonts w:cs="Arial"/>
          <w:lang w:val="en-US"/>
        </w:rPr>
        <w:t xml:space="preserve"> will be arranged. If the </w:t>
      </w:r>
      <w:r w:rsidR="00706412">
        <w:rPr>
          <w:rFonts w:cs="Arial"/>
          <w:lang w:val="en-US"/>
        </w:rPr>
        <w:t>t</w:t>
      </w:r>
      <w:r w:rsidRPr="00281394">
        <w:rPr>
          <w:rFonts w:cs="Arial"/>
          <w:lang w:val="en-US"/>
        </w:rPr>
        <w:t>eam is still in the process of establishment and does not yet have official premises, the meeting may be held at another location.</w:t>
      </w:r>
    </w:p>
    <w:p w14:paraId="4B995797" w14:textId="6346DA0D" w:rsidR="00281394" w:rsidRPr="00281394" w:rsidRDefault="00281394" w:rsidP="00281394">
      <w:pPr>
        <w:spacing w:after="120" w:line="276" w:lineRule="auto"/>
        <w:jc w:val="both"/>
        <w:rPr>
          <w:rFonts w:cs="Arial"/>
          <w:lang w:val="en-US"/>
        </w:rPr>
      </w:pPr>
      <w:r w:rsidRPr="00281394">
        <w:rPr>
          <w:rFonts w:cs="Arial"/>
          <w:lang w:val="en-US"/>
        </w:rPr>
        <w:t xml:space="preserve">Key areas are </w:t>
      </w:r>
      <w:proofErr w:type="spellStart"/>
      <w:r w:rsidRPr="00281394">
        <w:rPr>
          <w:rFonts w:cs="Arial"/>
          <w:lang w:val="en-US"/>
        </w:rPr>
        <w:t>analysed</w:t>
      </w:r>
      <w:proofErr w:type="spellEnd"/>
      <w:r w:rsidRPr="00281394">
        <w:rPr>
          <w:rFonts w:cs="Arial"/>
          <w:lang w:val="en-US"/>
        </w:rPr>
        <w:t xml:space="preserve"> during the due diligence process: investment strategy, integrity and reputation of the </w:t>
      </w:r>
      <w:r w:rsidR="00706412">
        <w:rPr>
          <w:rFonts w:cs="Arial"/>
          <w:lang w:val="en-US"/>
        </w:rPr>
        <w:t>t</w:t>
      </w:r>
      <w:r w:rsidRPr="00281394">
        <w:rPr>
          <w:rFonts w:cs="Arial"/>
          <w:lang w:val="en-US"/>
        </w:rPr>
        <w:t xml:space="preserve">eam, their prior experience, market knowledge, fund parameters, etc. </w:t>
      </w:r>
    </w:p>
    <w:p w14:paraId="35D5532E" w14:textId="77777777" w:rsidR="00281394" w:rsidRPr="00346EB5" w:rsidRDefault="00281394" w:rsidP="00281394">
      <w:pPr>
        <w:spacing w:after="120" w:line="276" w:lineRule="auto"/>
        <w:jc w:val="both"/>
        <w:rPr>
          <w:rFonts w:cs="Arial"/>
          <w:i/>
          <w:iCs/>
          <w:u w:val="single"/>
          <w:lang w:val="en-US"/>
        </w:rPr>
      </w:pPr>
      <w:r w:rsidRPr="00346EB5">
        <w:rPr>
          <w:rFonts w:cs="Arial"/>
          <w:i/>
          <w:iCs/>
          <w:u w:val="single"/>
          <w:lang w:val="en-US"/>
        </w:rPr>
        <w:t>Step 4. Selection</w:t>
      </w:r>
    </w:p>
    <w:p w14:paraId="6F05AA3A" w14:textId="749195F0" w:rsidR="005B67EA" w:rsidRDefault="0027369C" w:rsidP="00281394">
      <w:pPr>
        <w:spacing w:after="120" w:line="276" w:lineRule="auto"/>
        <w:jc w:val="both"/>
        <w:rPr>
          <w:rFonts w:cs="Arial"/>
          <w:lang w:val="en-US"/>
        </w:rPr>
      </w:pPr>
      <w:r w:rsidRPr="0027369C">
        <w:rPr>
          <w:rFonts w:cs="Arial"/>
          <w:lang w:val="en-US"/>
        </w:rPr>
        <w:lastRenderedPageBreak/>
        <w:t xml:space="preserve">Upon completion of the due diligence, the best Investment Opportunity (one or more) is selected, </w:t>
      </w:r>
      <w:r w:rsidR="00D04A38" w:rsidRPr="00D04A38">
        <w:rPr>
          <w:rFonts w:cs="Arial"/>
          <w:lang w:val="en-US"/>
        </w:rPr>
        <w:t xml:space="preserve">and the selection process </w:t>
      </w:r>
      <w:r w:rsidR="00D04A38">
        <w:rPr>
          <w:rFonts w:cs="Arial"/>
          <w:lang w:val="en-US"/>
        </w:rPr>
        <w:t>wil</w:t>
      </w:r>
      <w:r w:rsidR="00D04A38" w:rsidRPr="00D04A38">
        <w:rPr>
          <w:rFonts w:cs="Arial"/>
          <w:lang w:val="en-US"/>
        </w:rPr>
        <w:t>l continue with the respective team</w:t>
      </w:r>
      <w:r w:rsidRPr="0027369C">
        <w:rPr>
          <w:rFonts w:cs="Arial"/>
          <w:lang w:val="en-US"/>
        </w:rPr>
        <w:t xml:space="preserve">. </w:t>
      </w:r>
      <w:proofErr w:type="gramStart"/>
      <w:r w:rsidR="005B67EA" w:rsidRPr="005B67EA">
        <w:rPr>
          <w:rFonts w:cs="Arial"/>
          <w:lang w:val="en-US"/>
        </w:rPr>
        <w:t>In the event that</w:t>
      </w:r>
      <w:proofErr w:type="gramEnd"/>
      <w:r w:rsidR="005B67EA" w:rsidRPr="005B67EA">
        <w:rPr>
          <w:rFonts w:cs="Arial"/>
          <w:lang w:val="en-US"/>
        </w:rPr>
        <w:t xml:space="preserve"> more than one Investment Opportunity meet</w:t>
      </w:r>
      <w:r w:rsidR="005B3B05">
        <w:rPr>
          <w:rFonts w:cs="Arial"/>
          <w:lang w:val="en-US"/>
        </w:rPr>
        <w:t>s</w:t>
      </w:r>
      <w:r w:rsidR="005B67EA" w:rsidRPr="005B67EA">
        <w:rPr>
          <w:rFonts w:cs="Arial"/>
          <w:lang w:val="en-US"/>
        </w:rPr>
        <w:t xml:space="preserve"> the due diligence criteria, those not proceeding to Step 5 shall be notified thereof in writing.</w:t>
      </w:r>
    </w:p>
    <w:p w14:paraId="4A28F5C0" w14:textId="787339AF" w:rsidR="0001194E" w:rsidRPr="00A47138" w:rsidRDefault="0001194E" w:rsidP="0001194E">
      <w:pPr>
        <w:spacing w:after="120" w:line="276" w:lineRule="auto"/>
        <w:jc w:val="both"/>
        <w:rPr>
          <w:rFonts w:cs="Arial"/>
          <w:i/>
          <w:iCs/>
          <w:u w:val="single"/>
          <w:lang w:val="en-US"/>
        </w:rPr>
      </w:pPr>
      <w:r w:rsidRPr="00A47138">
        <w:rPr>
          <w:rFonts w:cs="Arial"/>
          <w:i/>
          <w:iCs/>
          <w:u w:val="single"/>
          <w:lang w:val="en-US"/>
        </w:rPr>
        <w:t xml:space="preserve">Step 5. </w:t>
      </w:r>
      <w:r w:rsidR="00A47138" w:rsidRPr="00A47138">
        <w:rPr>
          <w:rFonts w:cs="Arial"/>
          <w:i/>
          <w:iCs/>
          <w:u w:val="single"/>
          <w:lang w:val="en-US"/>
        </w:rPr>
        <w:t xml:space="preserve">Negotiation </w:t>
      </w:r>
      <w:r w:rsidR="00A47138" w:rsidRPr="008575F6">
        <w:rPr>
          <w:rFonts w:cs="Arial"/>
          <w:i/>
          <w:iCs/>
          <w:u w:val="single"/>
          <w:lang w:val="en-US"/>
        </w:rPr>
        <w:t xml:space="preserve">of </w:t>
      </w:r>
      <w:r w:rsidR="00460C0B" w:rsidRPr="008575F6">
        <w:rPr>
          <w:rFonts w:cs="Arial"/>
          <w:i/>
          <w:iCs/>
          <w:u w:val="single"/>
          <w:lang w:val="en-US"/>
        </w:rPr>
        <w:t xml:space="preserve">contractual </w:t>
      </w:r>
      <w:r w:rsidR="00A47138" w:rsidRPr="00A47138">
        <w:rPr>
          <w:rFonts w:cs="Arial"/>
          <w:i/>
          <w:iCs/>
          <w:u w:val="single"/>
          <w:lang w:val="en-US"/>
        </w:rPr>
        <w:t>documentation</w:t>
      </w:r>
      <w:r w:rsidR="00962A6D">
        <w:rPr>
          <w:rFonts w:cs="Arial"/>
          <w:i/>
          <w:iCs/>
          <w:u w:val="single"/>
          <w:lang w:val="en-US"/>
        </w:rPr>
        <w:t xml:space="preserve">, </w:t>
      </w:r>
      <w:r w:rsidR="00A47138" w:rsidRPr="00A47138">
        <w:rPr>
          <w:rFonts w:cs="Arial"/>
          <w:i/>
          <w:iCs/>
          <w:u w:val="single"/>
          <w:lang w:val="en-US"/>
        </w:rPr>
        <w:t xml:space="preserve">fund terms and </w:t>
      </w:r>
      <w:r w:rsidR="00A47138" w:rsidRPr="00D20BBF">
        <w:rPr>
          <w:rFonts w:cs="Arial"/>
          <w:i/>
          <w:iCs/>
          <w:u w:val="single"/>
          <w:lang w:val="en-US"/>
        </w:rPr>
        <w:t>conditions</w:t>
      </w:r>
      <w:r w:rsidR="00962A6D" w:rsidRPr="00D20BBF">
        <w:rPr>
          <w:rFonts w:cs="Arial"/>
          <w:i/>
          <w:iCs/>
          <w:u w:val="single"/>
          <w:lang w:val="en-US"/>
        </w:rPr>
        <w:t>,</w:t>
      </w:r>
      <w:r w:rsidR="00A47138" w:rsidRPr="00D20BBF">
        <w:rPr>
          <w:rFonts w:cs="Arial"/>
          <w:i/>
          <w:iCs/>
          <w:u w:val="single"/>
          <w:lang w:val="en-US"/>
        </w:rPr>
        <w:t xml:space="preserve"> and </w:t>
      </w:r>
      <w:r w:rsidR="00481D46">
        <w:rPr>
          <w:rFonts w:cs="Arial"/>
          <w:i/>
          <w:iCs/>
          <w:u w:val="single"/>
          <w:lang w:val="en-US"/>
        </w:rPr>
        <w:t>c</w:t>
      </w:r>
      <w:r w:rsidR="00D20BBF" w:rsidRPr="00D20BBF">
        <w:rPr>
          <w:rFonts w:cs="Arial"/>
          <w:i/>
          <w:iCs/>
          <w:u w:val="single"/>
          <w:lang w:val="en-US"/>
        </w:rPr>
        <w:t xml:space="preserve">ustomer </w:t>
      </w:r>
      <w:r w:rsidR="00481D46">
        <w:rPr>
          <w:rFonts w:cs="Arial"/>
          <w:i/>
          <w:iCs/>
          <w:u w:val="single"/>
          <w:lang w:val="en-US"/>
        </w:rPr>
        <w:t>d</w:t>
      </w:r>
      <w:r w:rsidR="00D20BBF" w:rsidRPr="00D20BBF">
        <w:rPr>
          <w:rFonts w:cs="Arial"/>
          <w:i/>
          <w:iCs/>
          <w:u w:val="single"/>
          <w:lang w:val="en-US"/>
        </w:rPr>
        <w:t xml:space="preserve">ue </w:t>
      </w:r>
      <w:r w:rsidR="00481D46">
        <w:rPr>
          <w:rFonts w:cs="Arial"/>
          <w:i/>
          <w:iCs/>
          <w:u w:val="single"/>
          <w:lang w:val="en-US"/>
        </w:rPr>
        <w:t>d</w:t>
      </w:r>
      <w:r w:rsidR="00D20BBF" w:rsidRPr="00D20BBF">
        <w:rPr>
          <w:rFonts w:cs="Arial"/>
          <w:i/>
          <w:iCs/>
          <w:u w:val="single"/>
          <w:lang w:val="en-US"/>
        </w:rPr>
        <w:t xml:space="preserve">iligence </w:t>
      </w:r>
      <w:r w:rsidR="00A47138" w:rsidRPr="00D20BBF">
        <w:rPr>
          <w:rFonts w:cs="Arial"/>
          <w:i/>
          <w:iCs/>
          <w:u w:val="single"/>
          <w:lang w:val="en-US"/>
        </w:rPr>
        <w:t>in</w:t>
      </w:r>
      <w:r w:rsidR="00A47138" w:rsidRPr="00A47138">
        <w:rPr>
          <w:rFonts w:cs="Arial"/>
          <w:i/>
          <w:iCs/>
          <w:u w:val="single"/>
          <w:lang w:val="en-US"/>
        </w:rPr>
        <w:t xml:space="preserve"> accordance with the Anti-Money Laundering and Terrorist Financing Act and the Act on Restrictive Measure</w:t>
      </w:r>
      <w:r w:rsidRPr="00A47138">
        <w:rPr>
          <w:rFonts w:cs="Arial"/>
          <w:i/>
          <w:iCs/>
          <w:u w:val="single"/>
          <w:lang w:val="en-US"/>
        </w:rPr>
        <w:t>s</w:t>
      </w:r>
    </w:p>
    <w:p w14:paraId="5120A088" w14:textId="546CC9B8" w:rsidR="00C179E0" w:rsidRPr="00C27867" w:rsidRDefault="0001194E" w:rsidP="0001194E">
      <w:pPr>
        <w:spacing w:after="120" w:line="276" w:lineRule="auto"/>
        <w:jc w:val="both"/>
        <w:rPr>
          <w:rFonts w:cs="Arial"/>
          <w:lang w:val="en-US"/>
        </w:rPr>
      </w:pPr>
      <w:r w:rsidRPr="0001194E">
        <w:rPr>
          <w:rFonts w:cs="Arial"/>
          <w:lang w:val="en-US"/>
        </w:rPr>
        <w:t xml:space="preserve">With the selected Financial Intermediary, negotiations on the </w:t>
      </w:r>
      <w:r w:rsidR="008F7D07">
        <w:rPr>
          <w:rFonts w:cs="Arial"/>
          <w:lang w:val="en-US"/>
        </w:rPr>
        <w:t xml:space="preserve">contractual </w:t>
      </w:r>
      <w:r w:rsidRPr="0001194E">
        <w:rPr>
          <w:rFonts w:cs="Arial"/>
          <w:lang w:val="en-US"/>
        </w:rPr>
        <w:t>documentation</w:t>
      </w:r>
      <w:r w:rsidR="00862ABE">
        <w:rPr>
          <w:rFonts w:cs="Arial"/>
          <w:lang w:val="en-US"/>
        </w:rPr>
        <w:t>,</w:t>
      </w:r>
      <w:r w:rsidRPr="0001194E">
        <w:rPr>
          <w:rFonts w:cs="Arial"/>
          <w:lang w:val="en-US"/>
        </w:rPr>
        <w:t xml:space="preserve"> fund terms and conditions shall be conducted, and </w:t>
      </w:r>
      <w:r w:rsidR="00481D46">
        <w:rPr>
          <w:rFonts w:cs="Arial"/>
          <w:lang w:val="en-US"/>
        </w:rPr>
        <w:t>c</w:t>
      </w:r>
      <w:r w:rsidRPr="0001194E">
        <w:rPr>
          <w:rFonts w:cs="Arial"/>
          <w:lang w:val="en-US"/>
        </w:rPr>
        <w:t xml:space="preserve">ustomer </w:t>
      </w:r>
      <w:r w:rsidR="00481D46">
        <w:rPr>
          <w:rFonts w:cs="Arial"/>
          <w:lang w:val="en-US"/>
        </w:rPr>
        <w:t>d</w:t>
      </w:r>
      <w:r w:rsidRPr="0001194E">
        <w:rPr>
          <w:rFonts w:cs="Arial"/>
          <w:lang w:val="en-US"/>
        </w:rPr>
        <w:t xml:space="preserve">ue </w:t>
      </w:r>
      <w:r w:rsidR="00481D46">
        <w:rPr>
          <w:rFonts w:cs="Arial"/>
          <w:lang w:val="en-US"/>
        </w:rPr>
        <w:t>d</w:t>
      </w:r>
      <w:r w:rsidRPr="0001194E">
        <w:rPr>
          <w:rFonts w:cs="Arial"/>
          <w:lang w:val="en-US"/>
        </w:rPr>
        <w:t>iligence measures shall be carried out in accordance with the provisions of HBOR’s internal acts.</w:t>
      </w:r>
    </w:p>
    <w:p w14:paraId="702EA037" w14:textId="3EEE5A74" w:rsidR="00B14049" w:rsidRPr="00B14049" w:rsidRDefault="00B14049" w:rsidP="00B14049">
      <w:pPr>
        <w:spacing w:after="120" w:line="276" w:lineRule="auto"/>
        <w:jc w:val="both"/>
        <w:rPr>
          <w:rFonts w:cs="Arial"/>
          <w:i/>
          <w:u w:val="single"/>
          <w:lang w:val="en-US"/>
        </w:rPr>
      </w:pPr>
      <w:r w:rsidRPr="00B14049">
        <w:rPr>
          <w:rFonts w:cs="Arial"/>
          <w:i/>
          <w:u w:val="single"/>
          <w:lang w:val="en-US"/>
        </w:rPr>
        <w:t xml:space="preserve">Step 6. </w:t>
      </w:r>
      <w:r w:rsidR="00503498">
        <w:rPr>
          <w:rFonts w:cs="Arial"/>
          <w:i/>
          <w:u w:val="single"/>
          <w:lang w:val="en-US"/>
        </w:rPr>
        <w:t xml:space="preserve">HBOR’s </w:t>
      </w:r>
      <w:r w:rsidRPr="00B14049">
        <w:rPr>
          <w:rFonts w:cs="Arial"/>
          <w:i/>
          <w:u w:val="single"/>
          <w:lang w:val="en-US"/>
        </w:rPr>
        <w:t>Investment decision and conclusion of agreements</w:t>
      </w:r>
    </w:p>
    <w:p w14:paraId="3F2F9374" w14:textId="3EBF9E0C" w:rsidR="00400DEF" w:rsidRDefault="00B14049" w:rsidP="00B14049">
      <w:pPr>
        <w:spacing w:after="120" w:line="276" w:lineRule="auto"/>
        <w:jc w:val="both"/>
        <w:rPr>
          <w:rFonts w:cs="Arial"/>
          <w:lang w:val="en-US"/>
        </w:rPr>
      </w:pPr>
      <w:r w:rsidRPr="00B14049">
        <w:rPr>
          <w:rFonts w:cs="Arial"/>
          <w:lang w:val="en-US"/>
        </w:rPr>
        <w:t xml:space="preserve">If an acceptable investment framework is agreed during the negotiations, HBOR shall adopt a decision on entering into the agreements and proceed with the execution of the </w:t>
      </w:r>
      <w:r w:rsidR="001E33D3">
        <w:rPr>
          <w:rFonts w:cs="Arial"/>
          <w:lang w:val="en-US"/>
        </w:rPr>
        <w:t xml:space="preserve">contractual </w:t>
      </w:r>
      <w:r w:rsidRPr="00B14049">
        <w:rPr>
          <w:rFonts w:cs="Arial"/>
          <w:lang w:val="en-US"/>
        </w:rPr>
        <w:t xml:space="preserve">documentation under which it commits to </w:t>
      </w:r>
      <w:proofErr w:type="gramStart"/>
      <w:r w:rsidRPr="00B14049">
        <w:rPr>
          <w:rFonts w:cs="Arial"/>
          <w:lang w:val="en-US"/>
        </w:rPr>
        <w:t>invest</w:t>
      </w:r>
      <w:proofErr w:type="gramEnd"/>
      <w:r w:rsidRPr="00B14049">
        <w:rPr>
          <w:rFonts w:cs="Arial"/>
          <w:lang w:val="en-US"/>
        </w:rPr>
        <w:t xml:space="preserve"> and </w:t>
      </w:r>
      <w:proofErr w:type="gramStart"/>
      <w:r w:rsidRPr="00B14049">
        <w:rPr>
          <w:rFonts w:cs="Arial"/>
          <w:lang w:val="en-US"/>
        </w:rPr>
        <w:t>to make</w:t>
      </w:r>
      <w:proofErr w:type="gramEnd"/>
      <w:r w:rsidRPr="00B14049">
        <w:rPr>
          <w:rFonts w:cs="Arial"/>
          <w:lang w:val="en-US"/>
        </w:rPr>
        <w:t xml:space="preserve"> a commitment to </w:t>
      </w:r>
      <w:r w:rsidR="00503498" w:rsidRPr="00B14049">
        <w:rPr>
          <w:rFonts w:cs="Arial"/>
          <w:lang w:val="en-US"/>
        </w:rPr>
        <w:t>AIF</w:t>
      </w:r>
      <w:r w:rsidRPr="00B14049">
        <w:rPr>
          <w:rFonts w:cs="Arial"/>
          <w:lang w:val="en-US"/>
        </w:rPr>
        <w:t>.</w:t>
      </w:r>
    </w:p>
    <w:p w14:paraId="011EC3D3" w14:textId="77777777" w:rsidR="00852BC1" w:rsidRDefault="00852BC1" w:rsidP="00B14049">
      <w:pPr>
        <w:spacing w:after="120" w:line="276" w:lineRule="auto"/>
        <w:jc w:val="both"/>
        <w:rPr>
          <w:rFonts w:cs="Arial"/>
          <w:lang w:val="en-US"/>
        </w:rPr>
      </w:pPr>
    </w:p>
    <w:p w14:paraId="02D66ECC" w14:textId="77777777" w:rsidR="00852BC1" w:rsidRPr="00531CF3" w:rsidRDefault="00852BC1" w:rsidP="00852BC1">
      <w:pPr>
        <w:spacing w:before="120" w:after="120" w:line="276" w:lineRule="auto"/>
        <w:jc w:val="center"/>
        <w:rPr>
          <w:b/>
          <w:bCs/>
          <w:i/>
          <w:iCs/>
          <w:lang w:val="en-US"/>
        </w:rPr>
      </w:pPr>
      <w:r w:rsidRPr="009245AB">
        <w:rPr>
          <w:b/>
          <w:bCs/>
          <w:i/>
          <w:iCs/>
          <w:lang w:val="en-US"/>
        </w:rPr>
        <w:t xml:space="preserve">This is an unofficial translation of the original text in Croatian. In case of discrepancies, the Croatian version will </w:t>
      </w:r>
      <w:r w:rsidRPr="00531CF3">
        <w:rPr>
          <w:b/>
          <w:bCs/>
          <w:i/>
          <w:iCs/>
          <w:lang w:val="en-US"/>
        </w:rPr>
        <w:t>prevail</w:t>
      </w:r>
      <w:r>
        <w:rPr>
          <w:b/>
          <w:bCs/>
          <w:i/>
          <w:iCs/>
          <w:lang w:val="en-US"/>
        </w:rPr>
        <w:t>.</w:t>
      </w:r>
    </w:p>
    <w:p w14:paraId="244193F9" w14:textId="77777777" w:rsidR="00852BC1" w:rsidRPr="00C27867" w:rsidRDefault="00852BC1" w:rsidP="00B14049">
      <w:pPr>
        <w:spacing w:after="120" w:line="276" w:lineRule="auto"/>
        <w:jc w:val="both"/>
        <w:rPr>
          <w:rFonts w:cs="Arial"/>
          <w:lang w:val="en-US"/>
        </w:rPr>
      </w:pPr>
    </w:p>
    <w:p w14:paraId="373DFAC3" w14:textId="5083A3FF" w:rsidR="00503498" w:rsidRDefault="00503498">
      <w:pPr>
        <w:rPr>
          <w:rFonts w:cs="Arial"/>
          <w:color w:val="EE0000"/>
          <w:lang w:val="en-US"/>
        </w:rPr>
      </w:pPr>
      <w:r>
        <w:rPr>
          <w:rFonts w:cs="Arial"/>
          <w:color w:val="EE0000"/>
          <w:lang w:val="en-US"/>
        </w:rPr>
        <w:br w:type="page"/>
      </w:r>
    </w:p>
    <w:p w14:paraId="636D75ED" w14:textId="77777777" w:rsidR="00A0544E" w:rsidRPr="00320FE7" w:rsidRDefault="00A0544E" w:rsidP="000A50DD">
      <w:pPr>
        <w:pStyle w:val="Heading1"/>
        <w:rPr>
          <w:rFonts w:cs="Arial"/>
          <w:b w:val="0"/>
          <w:bCs/>
          <w:szCs w:val="24"/>
          <w:lang w:val="en-GB"/>
        </w:rPr>
      </w:pPr>
      <w:bookmarkStart w:id="14" w:name="_Toc230164073"/>
      <w:r w:rsidRPr="000A50DD">
        <w:lastRenderedPageBreak/>
        <w:t>Schedule</w:t>
      </w:r>
      <w:r w:rsidRPr="00320FE7">
        <w:rPr>
          <w:rFonts w:cs="Arial"/>
          <w:bCs/>
          <w:szCs w:val="24"/>
          <w:lang w:val="en-GB"/>
        </w:rPr>
        <w:t xml:space="preserve"> 1 Application Form</w:t>
      </w:r>
      <w:bookmarkEnd w:id="14"/>
    </w:p>
    <w:p w14:paraId="7951DF4F" w14:textId="77777777" w:rsidR="00A0544E" w:rsidRPr="00320FE7" w:rsidRDefault="00A0544E" w:rsidP="00A0544E">
      <w:pPr>
        <w:rPr>
          <w:rFonts w:cs="Arial"/>
          <w:b/>
          <w:bCs/>
          <w:sz w:val="24"/>
          <w:szCs w:val="24"/>
          <w:lang w:val="en-GB"/>
        </w:rPr>
      </w:pPr>
    </w:p>
    <w:p w14:paraId="54F0CE36" w14:textId="77777777" w:rsidR="00A0544E" w:rsidRPr="00320FE7" w:rsidRDefault="00A0544E" w:rsidP="00034981">
      <w:pPr>
        <w:pStyle w:val="Heading2"/>
        <w:jc w:val="center"/>
        <w:rPr>
          <w:lang w:val="en-GB"/>
        </w:rPr>
      </w:pPr>
      <w:bookmarkStart w:id="15" w:name="_Toc193374165"/>
      <w:bookmarkStart w:id="16" w:name="_Toc230164074"/>
      <w:r w:rsidRPr="00320FE7">
        <w:rPr>
          <w:lang w:val="en-GB"/>
        </w:rPr>
        <w:t>STATEMENT OF APPLICANT</w:t>
      </w:r>
      <w:bookmarkEnd w:id="15"/>
      <w:bookmarkEnd w:id="16"/>
    </w:p>
    <w:p w14:paraId="3523D8D7" w14:textId="77777777" w:rsidR="00A0544E" w:rsidRPr="00320FE7" w:rsidRDefault="00A0544E" w:rsidP="00A0544E">
      <w:pPr>
        <w:jc w:val="both"/>
        <w:rPr>
          <w:rFonts w:cs="Arial"/>
          <w:b/>
          <w:bCs/>
          <w:szCs w:val="20"/>
          <w:lang w:val="en-GB"/>
        </w:rPr>
      </w:pPr>
    </w:p>
    <w:p w14:paraId="3B42872C" w14:textId="77777777" w:rsidR="00A0544E" w:rsidRPr="00320FE7" w:rsidRDefault="00A0544E" w:rsidP="00A0544E">
      <w:pPr>
        <w:rPr>
          <w:rFonts w:cs="Arial"/>
          <w:szCs w:val="20"/>
          <w:lang w:val="en-GB"/>
        </w:rPr>
      </w:pPr>
    </w:p>
    <w:p w14:paraId="02487F60" w14:textId="77777777" w:rsidR="00A0544E" w:rsidRPr="00320FE7" w:rsidRDefault="00A0544E" w:rsidP="00A0544E">
      <w:pPr>
        <w:spacing w:line="276" w:lineRule="auto"/>
        <w:jc w:val="both"/>
        <w:rPr>
          <w:rFonts w:cs="Arial"/>
          <w:szCs w:val="20"/>
          <w:lang w:val="en-GB"/>
        </w:rPr>
      </w:pPr>
      <w:r w:rsidRPr="00320FE7">
        <w:rPr>
          <w:rFonts w:cs="Arial"/>
          <w:szCs w:val="20"/>
          <w:lang w:val="en-GB"/>
        </w:rPr>
        <w:t xml:space="preserve">Dear Madam or Sir, </w:t>
      </w:r>
    </w:p>
    <w:p w14:paraId="324B37EE" w14:textId="77777777" w:rsidR="00A0544E" w:rsidRPr="00320FE7" w:rsidRDefault="00A0544E" w:rsidP="00A0544E">
      <w:pPr>
        <w:spacing w:line="276" w:lineRule="auto"/>
        <w:jc w:val="both"/>
        <w:rPr>
          <w:rFonts w:cs="Arial"/>
          <w:szCs w:val="20"/>
          <w:lang w:val="en-GB"/>
        </w:rPr>
      </w:pPr>
    </w:p>
    <w:p w14:paraId="0AAD65D5" w14:textId="13FEAEE3" w:rsidR="00A0544E" w:rsidRPr="00320FE7" w:rsidRDefault="00A0544E" w:rsidP="00A0544E">
      <w:pPr>
        <w:spacing w:line="276" w:lineRule="auto"/>
        <w:jc w:val="both"/>
        <w:rPr>
          <w:rFonts w:cs="Arial"/>
          <w:lang w:val="en-GB"/>
        </w:rPr>
      </w:pPr>
      <w:r w:rsidRPr="59B2016F">
        <w:rPr>
          <w:rFonts w:cs="Arial"/>
          <w:lang w:val="en-GB"/>
        </w:rPr>
        <w:t xml:space="preserve">Please find enclosed an Investment Opportunity </w:t>
      </w:r>
      <w:r w:rsidRPr="00852BC1">
        <w:rPr>
          <w:rFonts w:cs="Arial"/>
          <w:lang w:val="en-GB"/>
        </w:rPr>
        <w:t>form</w:t>
      </w:r>
      <w:r w:rsidRPr="59B2016F">
        <w:rPr>
          <w:rFonts w:cs="Arial"/>
          <w:lang w:val="en-GB"/>
        </w:rPr>
        <w:t xml:space="preserve"> submitted on behalf of </w:t>
      </w:r>
      <w:r w:rsidRPr="59B2016F">
        <w:rPr>
          <w:rFonts w:cs="Arial"/>
          <w:b/>
          <w:bCs/>
          <w:u w:val="single"/>
          <w:lang w:val="en-GB"/>
        </w:rPr>
        <w:t>[ENTER TEAM NAME]</w:t>
      </w:r>
      <w:r w:rsidRPr="59B2016F">
        <w:rPr>
          <w:rFonts w:cs="Arial"/>
          <w:lang w:val="en-GB"/>
        </w:rPr>
        <w:t xml:space="preserve"> (hereinafter: Applicant or Financial Intermediary) as an expression of interest under the Call for the Selection of Financial Intermediar</w:t>
      </w:r>
      <w:r w:rsidR="00275051">
        <w:rPr>
          <w:rFonts w:cs="Arial"/>
          <w:lang w:val="en-GB"/>
        </w:rPr>
        <w:t>y</w:t>
      </w:r>
      <w:r w:rsidRPr="59B2016F">
        <w:rPr>
          <w:rFonts w:cs="Arial"/>
          <w:lang w:val="en-GB"/>
        </w:rPr>
        <w:t xml:space="preserve"> implemented by HBOR.</w:t>
      </w:r>
    </w:p>
    <w:p w14:paraId="3928419E" w14:textId="77777777" w:rsidR="00A0544E" w:rsidRPr="00320FE7" w:rsidRDefault="00A0544E" w:rsidP="00A0544E">
      <w:pPr>
        <w:spacing w:line="276" w:lineRule="auto"/>
        <w:rPr>
          <w:rFonts w:cs="Arial"/>
          <w:szCs w:val="20"/>
          <w:lang w:val="en-GB"/>
        </w:rPr>
      </w:pPr>
    </w:p>
    <w:p w14:paraId="586A2ECD" w14:textId="77777777" w:rsidR="00A0544E" w:rsidRPr="00320FE7" w:rsidRDefault="00A0544E" w:rsidP="00A0544E">
      <w:pPr>
        <w:spacing w:line="276" w:lineRule="auto"/>
        <w:jc w:val="both"/>
        <w:rPr>
          <w:rFonts w:cs="Arial"/>
          <w:lang w:val="en-GB"/>
        </w:rPr>
      </w:pPr>
      <w:r w:rsidRPr="59B2016F">
        <w:rPr>
          <w:rFonts w:cs="Arial"/>
          <w:lang w:val="en-GB"/>
        </w:rPr>
        <w:t xml:space="preserve">The below signed is authorised to represent </w:t>
      </w:r>
      <w:r w:rsidRPr="59B2016F">
        <w:rPr>
          <w:rFonts w:cs="Arial"/>
          <w:b/>
          <w:bCs/>
          <w:u w:val="single"/>
          <w:lang w:val="en-GB"/>
        </w:rPr>
        <w:t>[ENTER TEAM NAME]</w:t>
      </w:r>
      <w:r w:rsidRPr="59B2016F">
        <w:rPr>
          <w:rFonts w:cs="Arial"/>
          <w:lang w:val="en-GB"/>
        </w:rPr>
        <w:t xml:space="preserve"> and confirms, by signing this form, that the Financial Intermediary, on the date of the submission of Investment Opportunity </w:t>
      </w:r>
      <w:r w:rsidRPr="00852BC1">
        <w:rPr>
          <w:rFonts w:cs="Arial"/>
          <w:lang w:val="en-GB"/>
        </w:rPr>
        <w:t>form</w:t>
      </w:r>
      <w:r w:rsidRPr="59B2016F">
        <w:rPr>
          <w:rFonts w:cs="Arial"/>
          <w:lang w:val="en-GB"/>
        </w:rPr>
        <w:t xml:space="preserve"> and five years beforehand, was not in one or any of the situations described below: </w:t>
      </w:r>
    </w:p>
    <w:p w14:paraId="7C925798" w14:textId="2CB6137B" w:rsidR="00A0544E" w:rsidRPr="00320FE7" w:rsidRDefault="00A0544E" w:rsidP="00A0544E">
      <w:pPr>
        <w:pStyle w:val="ListParagraph"/>
        <w:numPr>
          <w:ilvl w:val="0"/>
          <w:numId w:val="3"/>
        </w:numPr>
        <w:spacing w:line="276" w:lineRule="auto"/>
        <w:jc w:val="both"/>
        <w:rPr>
          <w:rFonts w:cs="Arial"/>
          <w:szCs w:val="20"/>
          <w:lang w:val="en-GB"/>
        </w:rPr>
      </w:pPr>
      <w:r w:rsidRPr="00320FE7">
        <w:rPr>
          <w:rFonts w:cs="Arial"/>
          <w:szCs w:val="20"/>
          <w:lang w:val="en-GB"/>
        </w:rPr>
        <w:t xml:space="preserve">Proposal for the initiation of </w:t>
      </w:r>
      <w:r w:rsidR="009C17AA">
        <w:rPr>
          <w:rFonts w:cs="Arial"/>
          <w:szCs w:val="20"/>
          <w:lang w:val="en-GB"/>
        </w:rPr>
        <w:t xml:space="preserve">pre-bankruptcy or </w:t>
      </w:r>
      <w:r w:rsidRPr="00320FE7">
        <w:rPr>
          <w:rFonts w:cs="Arial"/>
          <w:szCs w:val="20"/>
          <w:lang w:val="en-GB"/>
        </w:rPr>
        <w:t xml:space="preserve">bankruptcy proceedings has been </w:t>
      </w:r>
      <w:proofErr w:type="gramStart"/>
      <w:r w:rsidRPr="00320FE7">
        <w:rPr>
          <w:rFonts w:cs="Arial"/>
          <w:szCs w:val="20"/>
          <w:lang w:val="en-GB"/>
        </w:rPr>
        <w:t>submitted</w:t>
      </w:r>
      <w:proofErr w:type="gramEnd"/>
      <w:r w:rsidRPr="00320FE7">
        <w:rPr>
          <w:rFonts w:cs="Arial"/>
          <w:szCs w:val="20"/>
          <w:lang w:val="en-GB"/>
        </w:rPr>
        <w:t xml:space="preserve"> or liquidation proceedings have been initiated against the Financial </w:t>
      </w:r>
      <w:proofErr w:type="gramStart"/>
      <w:r w:rsidRPr="00320FE7">
        <w:rPr>
          <w:rFonts w:cs="Arial"/>
          <w:szCs w:val="20"/>
          <w:lang w:val="en-GB"/>
        </w:rPr>
        <w:t>Intermediary;</w:t>
      </w:r>
      <w:proofErr w:type="gramEnd"/>
      <w:r w:rsidRPr="00320FE7">
        <w:rPr>
          <w:rFonts w:cs="Arial"/>
          <w:szCs w:val="20"/>
          <w:lang w:val="en-GB"/>
        </w:rPr>
        <w:t xml:space="preserve"> </w:t>
      </w:r>
    </w:p>
    <w:p w14:paraId="15375C5B" w14:textId="77777777" w:rsidR="00A0544E" w:rsidRPr="00320FE7" w:rsidRDefault="00A0544E" w:rsidP="00A0544E">
      <w:pPr>
        <w:pStyle w:val="ListParagraph"/>
        <w:numPr>
          <w:ilvl w:val="0"/>
          <w:numId w:val="3"/>
        </w:numPr>
        <w:spacing w:line="276" w:lineRule="auto"/>
        <w:jc w:val="both"/>
        <w:rPr>
          <w:rFonts w:cs="Arial"/>
          <w:szCs w:val="20"/>
          <w:lang w:val="en-GB"/>
        </w:rPr>
      </w:pPr>
      <w:r w:rsidRPr="00320FE7">
        <w:rPr>
          <w:rFonts w:cs="Arial"/>
          <w:szCs w:val="20"/>
          <w:lang w:val="en-GB"/>
        </w:rPr>
        <w:t xml:space="preserve">Decision has been made to annul or revoke the decision granting the Financial Intermediary an operating </w:t>
      </w:r>
      <w:proofErr w:type="gramStart"/>
      <w:r w:rsidRPr="00320FE7">
        <w:rPr>
          <w:rFonts w:cs="Arial"/>
          <w:szCs w:val="20"/>
          <w:lang w:val="en-GB"/>
        </w:rPr>
        <w:t>permit;</w:t>
      </w:r>
      <w:proofErr w:type="gramEnd"/>
      <w:r w:rsidRPr="00320FE7">
        <w:rPr>
          <w:rFonts w:cs="Arial"/>
          <w:szCs w:val="20"/>
          <w:lang w:val="en-GB"/>
        </w:rPr>
        <w:t xml:space="preserve"> </w:t>
      </w:r>
    </w:p>
    <w:p w14:paraId="07DEC589" w14:textId="77777777" w:rsidR="00A0544E" w:rsidRPr="00320FE7" w:rsidRDefault="00A0544E" w:rsidP="00A0544E">
      <w:pPr>
        <w:pStyle w:val="ListParagraph"/>
        <w:numPr>
          <w:ilvl w:val="0"/>
          <w:numId w:val="3"/>
        </w:numPr>
        <w:spacing w:line="276" w:lineRule="auto"/>
        <w:jc w:val="both"/>
        <w:rPr>
          <w:rFonts w:cs="Arial"/>
          <w:szCs w:val="20"/>
          <w:lang w:val="en-GB"/>
        </w:rPr>
      </w:pPr>
      <w:r w:rsidRPr="00320FE7">
        <w:rPr>
          <w:rFonts w:cs="Arial"/>
          <w:szCs w:val="20"/>
          <w:lang w:val="en-GB"/>
        </w:rPr>
        <w:t xml:space="preserve">Responsible persons of the Financial Intermediary have been finally convicted of a criminal offence related to their professional </w:t>
      </w:r>
      <w:proofErr w:type="gramStart"/>
      <w:r w:rsidRPr="00320FE7">
        <w:rPr>
          <w:rFonts w:cs="Arial"/>
          <w:szCs w:val="20"/>
          <w:lang w:val="en-GB"/>
        </w:rPr>
        <w:t>conduct;</w:t>
      </w:r>
      <w:proofErr w:type="gramEnd"/>
      <w:r w:rsidRPr="00320FE7">
        <w:rPr>
          <w:rFonts w:cs="Arial"/>
          <w:szCs w:val="20"/>
          <w:lang w:val="en-GB"/>
        </w:rPr>
        <w:t xml:space="preserve"> </w:t>
      </w:r>
    </w:p>
    <w:p w14:paraId="084CCE46" w14:textId="77777777" w:rsidR="00A0544E" w:rsidRPr="00320FE7" w:rsidRDefault="00A0544E" w:rsidP="00A0544E">
      <w:pPr>
        <w:pStyle w:val="ListParagraph"/>
        <w:numPr>
          <w:ilvl w:val="0"/>
          <w:numId w:val="3"/>
        </w:numPr>
        <w:spacing w:line="276" w:lineRule="auto"/>
        <w:jc w:val="both"/>
        <w:rPr>
          <w:rFonts w:cs="Arial"/>
          <w:szCs w:val="20"/>
          <w:lang w:val="en-GB"/>
        </w:rPr>
      </w:pPr>
      <w:r w:rsidRPr="00320FE7">
        <w:rPr>
          <w:rFonts w:cs="Arial"/>
          <w:szCs w:val="20"/>
          <w:lang w:val="en-GB"/>
        </w:rPr>
        <w:t xml:space="preserve">Responsible persons of the Financial Intermediary have been finally convicted of criminal offences of fraud, corruption, participation in a criminal organisation or any other illegal </w:t>
      </w:r>
      <w:proofErr w:type="gramStart"/>
      <w:r w:rsidRPr="00320FE7">
        <w:rPr>
          <w:rFonts w:cs="Arial"/>
          <w:szCs w:val="20"/>
          <w:lang w:val="en-GB"/>
        </w:rPr>
        <w:t>activity;</w:t>
      </w:r>
      <w:proofErr w:type="gramEnd"/>
      <w:r w:rsidRPr="00320FE7">
        <w:rPr>
          <w:rFonts w:cs="Arial"/>
          <w:szCs w:val="20"/>
          <w:lang w:val="en-GB"/>
        </w:rPr>
        <w:t xml:space="preserve"> </w:t>
      </w:r>
    </w:p>
    <w:p w14:paraId="0591FB12" w14:textId="77777777" w:rsidR="00A0544E" w:rsidRPr="00320FE7" w:rsidRDefault="00A0544E" w:rsidP="00A0544E">
      <w:pPr>
        <w:pStyle w:val="ListParagraph"/>
        <w:numPr>
          <w:ilvl w:val="0"/>
          <w:numId w:val="3"/>
        </w:numPr>
        <w:spacing w:line="276" w:lineRule="auto"/>
        <w:jc w:val="both"/>
        <w:rPr>
          <w:rFonts w:cs="Arial"/>
          <w:szCs w:val="20"/>
          <w:lang w:val="en-GB"/>
        </w:rPr>
      </w:pPr>
      <w:r w:rsidRPr="00320FE7">
        <w:rPr>
          <w:rFonts w:cs="Arial"/>
          <w:szCs w:val="20"/>
          <w:lang w:val="en-GB"/>
        </w:rPr>
        <w:t xml:space="preserve">Financial Intermediary has materially misrepresented the data submitted to </w:t>
      </w:r>
      <w:proofErr w:type="gramStart"/>
      <w:r w:rsidRPr="00320FE7">
        <w:rPr>
          <w:rFonts w:cs="Arial"/>
          <w:szCs w:val="20"/>
          <w:lang w:val="en-GB"/>
        </w:rPr>
        <w:t>HBOR, in particular</w:t>
      </w:r>
      <w:proofErr w:type="gramEnd"/>
      <w:r w:rsidRPr="00320FE7">
        <w:rPr>
          <w:rFonts w:cs="Arial"/>
          <w:szCs w:val="20"/>
          <w:lang w:val="en-GB"/>
        </w:rPr>
        <w:t xml:space="preserve">: </w:t>
      </w:r>
    </w:p>
    <w:p w14:paraId="4C599863" w14:textId="77777777" w:rsidR="00A0544E" w:rsidRPr="00320FE7" w:rsidRDefault="00A0544E" w:rsidP="00A0544E">
      <w:pPr>
        <w:pStyle w:val="ListParagraph"/>
        <w:numPr>
          <w:ilvl w:val="1"/>
          <w:numId w:val="3"/>
        </w:numPr>
        <w:spacing w:line="276" w:lineRule="auto"/>
        <w:jc w:val="both"/>
        <w:rPr>
          <w:rFonts w:cs="Arial"/>
          <w:szCs w:val="20"/>
          <w:lang w:val="en-GB"/>
        </w:rPr>
      </w:pPr>
      <w:r w:rsidRPr="00320FE7">
        <w:rPr>
          <w:rFonts w:cs="Arial"/>
          <w:szCs w:val="20"/>
          <w:lang w:val="en-GB"/>
        </w:rPr>
        <w:t>data necessary for HBOR's decision to become an investor, or</w:t>
      </w:r>
    </w:p>
    <w:p w14:paraId="2437E64F" w14:textId="77777777" w:rsidR="00A0544E" w:rsidRPr="00320FE7" w:rsidRDefault="00A0544E" w:rsidP="00A0544E">
      <w:pPr>
        <w:pStyle w:val="ListParagraph"/>
        <w:numPr>
          <w:ilvl w:val="1"/>
          <w:numId w:val="3"/>
        </w:numPr>
        <w:spacing w:line="276" w:lineRule="auto"/>
        <w:jc w:val="both"/>
        <w:rPr>
          <w:rFonts w:cs="Arial"/>
          <w:szCs w:val="20"/>
          <w:lang w:val="en-GB"/>
        </w:rPr>
      </w:pPr>
      <w:r w:rsidRPr="00320FE7">
        <w:rPr>
          <w:rFonts w:cs="Arial"/>
          <w:szCs w:val="20"/>
          <w:lang w:val="en-GB"/>
        </w:rPr>
        <w:t xml:space="preserve">data necessary to verify the absence of grounds for exclusion. </w:t>
      </w:r>
    </w:p>
    <w:p w14:paraId="0F8B1E19" w14:textId="77777777" w:rsidR="00A0544E" w:rsidRPr="00320FE7" w:rsidRDefault="00A0544E" w:rsidP="00A0544E">
      <w:pPr>
        <w:spacing w:line="276" w:lineRule="auto"/>
        <w:jc w:val="both"/>
        <w:rPr>
          <w:rFonts w:cs="Arial"/>
          <w:szCs w:val="20"/>
          <w:lang w:val="en-GB"/>
        </w:rPr>
      </w:pPr>
    </w:p>
    <w:p w14:paraId="670E5DCD" w14:textId="0FB02515" w:rsidR="00A0544E" w:rsidRPr="00320FE7" w:rsidRDefault="00A0544E" w:rsidP="00A0544E">
      <w:pPr>
        <w:spacing w:line="276" w:lineRule="auto"/>
        <w:jc w:val="both"/>
        <w:rPr>
          <w:rFonts w:cs="Arial"/>
          <w:szCs w:val="20"/>
          <w:lang w:val="en-GB"/>
        </w:rPr>
      </w:pPr>
      <w:r w:rsidRPr="00320FE7">
        <w:rPr>
          <w:rFonts w:cs="Arial"/>
          <w:szCs w:val="20"/>
          <w:lang w:val="en-GB"/>
        </w:rPr>
        <w:t xml:space="preserve">Furthermore, by my signature, I confirm that I have read and that I accept HBOR's Disclaimer and Acceptance of Terms and Conditions as well as HBOR's Statement on the Confidentiality of Personal </w:t>
      </w:r>
      <w:proofErr w:type="gramStart"/>
      <w:r w:rsidRPr="00320FE7">
        <w:rPr>
          <w:rFonts w:cs="Arial"/>
          <w:szCs w:val="20"/>
          <w:lang w:val="en-GB"/>
        </w:rPr>
        <w:t>Data:.</w:t>
      </w:r>
      <w:proofErr w:type="gramEnd"/>
    </w:p>
    <w:p w14:paraId="2D316E92" w14:textId="77777777" w:rsidR="00A0544E" w:rsidRPr="00320FE7" w:rsidRDefault="00A0544E" w:rsidP="00A0544E">
      <w:pPr>
        <w:spacing w:line="276" w:lineRule="auto"/>
        <w:jc w:val="both"/>
        <w:rPr>
          <w:rFonts w:cs="Arial"/>
          <w:szCs w:val="20"/>
          <w:lang w:val="en-GB"/>
        </w:rPr>
      </w:pPr>
    </w:p>
    <w:p w14:paraId="5C6B9C7F" w14:textId="77777777" w:rsidR="00A0544E" w:rsidRPr="00320FE7" w:rsidRDefault="00A0544E" w:rsidP="00A0544E">
      <w:pPr>
        <w:spacing w:line="276" w:lineRule="auto"/>
        <w:jc w:val="both"/>
        <w:rPr>
          <w:rFonts w:cs="Arial"/>
          <w:szCs w:val="20"/>
          <w:lang w:val="en-GB"/>
        </w:rPr>
      </w:pPr>
    </w:p>
    <w:p w14:paraId="275F9C97" w14:textId="77777777" w:rsidR="00A0544E" w:rsidRPr="00320FE7" w:rsidRDefault="00A0544E" w:rsidP="00A0544E">
      <w:pPr>
        <w:spacing w:line="276" w:lineRule="auto"/>
        <w:jc w:val="both"/>
        <w:rPr>
          <w:rFonts w:cs="Arial"/>
          <w:szCs w:val="20"/>
          <w:lang w:val="en-GB"/>
        </w:rPr>
      </w:pPr>
      <w:r w:rsidRPr="00320FE7">
        <w:rPr>
          <w:rFonts w:cs="Arial"/>
          <w:szCs w:val="20"/>
          <w:lang w:val="en-GB"/>
        </w:rPr>
        <w:t xml:space="preserve">Yours faithfully, </w:t>
      </w:r>
    </w:p>
    <w:p w14:paraId="1A070847" w14:textId="77777777" w:rsidR="00A0544E" w:rsidRPr="00320FE7" w:rsidRDefault="00A0544E" w:rsidP="00A0544E">
      <w:pPr>
        <w:spacing w:line="276" w:lineRule="auto"/>
        <w:jc w:val="both"/>
        <w:rPr>
          <w:rFonts w:cs="Arial"/>
          <w:szCs w:val="20"/>
          <w:lang w:val="en-GB"/>
        </w:rPr>
      </w:pPr>
    </w:p>
    <w:p w14:paraId="1AD540D8" w14:textId="77777777" w:rsidR="00A0544E" w:rsidRPr="00320FE7" w:rsidRDefault="00A0544E" w:rsidP="00A0544E">
      <w:pPr>
        <w:spacing w:line="276" w:lineRule="auto"/>
        <w:jc w:val="both"/>
        <w:rPr>
          <w:rFonts w:cs="Arial"/>
          <w:szCs w:val="20"/>
          <w:lang w:val="en-GB"/>
        </w:rPr>
      </w:pPr>
    </w:p>
    <w:tbl>
      <w:tblPr>
        <w:tblStyle w:val="TableGrid"/>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0"/>
        <w:gridCol w:w="3827"/>
        <w:gridCol w:w="1525"/>
      </w:tblGrid>
      <w:tr w:rsidR="00A0544E" w:rsidRPr="00320FE7" w14:paraId="48FA2937" w14:textId="77777777" w:rsidTr="00C5270A">
        <w:trPr>
          <w:trHeight w:val="510"/>
        </w:trPr>
        <w:tc>
          <w:tcPr>
            <w:tcW w:w="4111" w:type="dxa"/>
            <w:vAlign w:val="center"/>
          </w:tcPr>
          <w:p w14:paraId="02256907" w14:textId="77777777" w:rsidR="00A0544E" w:rsidRPr="00320FE7" w:rsidRDefault="00A0544E" w:rsidP="00C5270A">
            <w:pPr>
              <w:spacing w:line="276" w:lineRule="auto"/>
              <w:jc w:val="right"/>
              <w:rPr>
                <w:rFonts w:cs="Arial"/>
                <w:sz w:val="18"/>
                <w:szCs w:val="18"/>
                <w:lang w:val="en-GB"/>
              </w:rPr>
            </w:pPr>
            <w:r w:rsidRPr="00320FE7">
              <w:rPr>
                <w:rFonts w:cs="Arial"/>
                <w:sz w:val="18"/>
                <w:szCs w:val="18"/>
                <w:lang w:val="en-GB"/>
              </w:rPr>
              <w:t>Signature</w:t>
            </w:r>
          </w:p>
        </w:tc>
        <w:tc>
          <w:tcPr>
            <w:tcW w:w="850" w:type="dxa"/>
          </w:tcPr>
          <w:p w14:paraId="703ADAC0" w14:textId="77777777" w:rsidR="00A0544E" w:rsidRPr="00320FE7" w:rsidRDefault="00A0544E" w:rsidP="00C5270A">
            <w:pPr>
              <w:spacing w:line="276" w:lineRule="auto"/>
              <w:jc w:val="both"/>
              <w:rPr>
                <w:rFonts w:cs="Arial"/>
                <w:szCs w:val="20"/>
                <w:lang w:val="en-GB"/>
              </w:rPr>
            </w:pPr>
          </w:p>
        </w:tc>
        <w:tc>
          <w:tcPr>
            <w:tcW w:w="3827" w:type="dxa"/>
            <w:tcBorders>
              <w:bottom w:val="single" w:sz="4" w:space="0" w:color="auto"/>
            </w:tcBorders>
          </w:tcPr>
          <w:p w14:paraId="1CE6F436" w14:textId="77777777" w:rsidR="00A0544E" w:rsidRPr="00320FE7" w:rsidRDefault="00A0544E" w:rsidP="00C5270A">
            <w:pPr>
              <w:spacing w:line="276" w:lineRule="auto"/>
              <w:jc w:val="both"/>
              <w:rPr>
                <w:rFonts w:cs="Arial"/>
                <w:szCs w:val="20"/>
                <w:lang w:val="en-GB"/>
              </w:rPr>
            </w:pPr>
          </w:p>
        </w:tc>
        <w:tc>
          <w:tcPr>
            <w:tcW w:w="1525" w:type="dxa"/>
          </w:tcPr>
          <w:p w14:paraId="63337AC8" w14:textId="77777777" w:rsidR="00A0544E" w:rsidRPr="00320FE7" w:rsidRDefault="00A0544E" w:rsidP="00C5270A">
            <w:pPr>
              <w:spacing w:line="276" w:lineRule="auto"/>
              <w:jc w:val="both"/>
              <w:rPr>
                <w:rFonts w:cs="Arial"/>
                <w:szCs w:val="20"/>
                <w:lang w:val="en-GB"/>
              </w:rPr>
            </w:pPr>
          </w:p>
        </w:tc>
      </w:tr>
      <w:tr w:rsidR="00A0544E" w:rsidRPr="00320FE7" w14:paraId="7E3979AE" w14:textId="77777777" w:rsidTr="00C5270A">
        <w:trPr>
          <w:trHeight w:val="510"/>
        </w:trPr>
        <w:tc>
          <w:tcPr>
            <w:tcW w:w="4111" w:type="dxa"/>
            <w:vAlign w:val="center"/>
          </w:tcPr>
          <w:p w14:paraId="400C05A9" w14:textId="77777777" w:rsidR="00A0544E" w:rsidRPr="00320FE7" w:rsidRDefault="00A0544E" w:rsidP="00C5270A">
            <w:pPr>
              <w:spacing w:line="276" w:lineRule="auto"/>
              <w:jc w:val="right"/>
              <w:rPr>
                <w:rFonts w:cs="Arial"/>
                <w:sz w:val="18"/>
                <w:szCs w:val="18"/>
                <w:lang w:val="en-GB"/>
              </w:rPr>
            </w:pPr>
            <w:r w:rsidRPr="00320FE7">
              <w:rPr>
                <w:rFonts w:cs="Arial"/>
                <w:sz w:val="18"/>
                <w:szCs w:val="18"/>
                <w:lang w:val="en-GB"/>
              </w:rPr>
              <w:t>First name and last name of person</w:t>
            </w:r>
            <w:r>
              <w:rPr>
                <w:rFonts w:cs="Arial"/>
                <w:sz w:val="18"/>
                <w:szCs w:val="18"/>
                <w:lang w:val="en-GB"/>
              </w:rPr>
              <w:t xml:space="preserve"> </w:t>
            </w:r>
            <w:r w:rsidRPr="00320FE7">
              <w:rPr>
                <w:rFonts w:cs="Arial"/>
                <w:sz w:val="18"/>
                <w:szCs w:val="18"/>
                <w:lang w:val="en-GB"/>
              </w:rPr>
              <w:t xml:space="preserve">authorised </w:t>
            </w:r>
            <w:r>
              <w:rPr>
                <w:rFonts w:cs="Arial"/>
                <w:sz w:val="18"/>
                <w:szCs w:val="18"/>
                <w:lang w:val="en-GB"/>
              </w:rPr>
              <w:t>to submit Investment Opportunity form</w:t>
            </w:r>
          </w:p>
        </w:tc>
        <w:tc>
          <w:tcPr>
            <w:tcW w:w="850" w:type="dxa"/>
          </w:tcPr>
          <w:p w14:paraId="284206B4" w14:textId="77777777" w:rsidR="00A0544E" w:rsidRPr="00320FE7" w:rsidRDefault="00A0544E" w:rsidP="00C5270A">
            <w:pPr>
              <w:spacing w:line="276" w:lineRule="auto"/>
              <w:jc w:val="both"/>
              <w:rPr>
                <w:rFonts w:cs="Arial"/>
                <w:szCs w:val="20"/>
                <w:lang w:val="en-GB"/>
              </w:rPr>
            </w:pPr>
          </w:p>
        </w:tc>
        <w:tc>
          <w:tcPr>
            <w:tcW w:w="3827" w:type="dxa"/>
            <w:tcBorders>
              <w:top w:val="single" w:sz="4" w:space="0" w:color="auto"/>
            </w:tcBorders>
          </w:tcPr>
          <w:p w14:paraId="0807E6DC" w14:textId="77777777" w:rsidR="00A0544E" w:rsidRPr="00320FE7" w:rsidRDefault="00A0544E" w:rsidP="00C5270A">
            <w:pPr>
              <w:spacing w:line="276" w:lineRule="auto"/>
              <w:jc w:val="center"/>
              <w:rPr>
                <w:rFonts w:cs="Arial"/>
                <w:szCs w:val="20"/>
                <w:lang w:val="en-GB"/>
              </w:rPr>
            </w:pPr>
          </w:p>
        </w:tc>
        <w:tc>
          <w:tcPr>
            <w:tcW w:w="1525" w:type="dxa"/>
          </w:tcPr>
          <w:p w14:paraId="323033A1" w14:textId="77777777" w:rsidR="00A0544E" w:rsidRPr="00320FE7" w:rsidRDefault="00A0544E" w:rsidP="00C5270A">
            <w:pPr>
              <w:spacing w:line="276" w:lineRule="auto"/>
              <w:jc w:val="both"/>
              <w:rPr>
                <w:rFonts w:cs="Arial"/>
                <w:szCs w:val="20"/>
                <w:lang w:val="en-GB"/>
              </w:rPr>
            </w:pPr>
          </w:p>
        </w:tc>
      </w:tr>
      <w:tr w:rsidR="00A0544E" w:rsidRPr="00320FE7" w14:paraId="4432215B" w14:textId="77777777" w:rsidTr="00C5270A">
        <w:trPr>
          <w:trHeight w:val="510"/>
        </w:trPr>
        <w:tc>
          <w:tcPr>
            <w:tcW w:w="4111" w:type="dxa"/>
            <w:vAlign w:val="center"/>
          </w:tcPr>
          <w:p w14:paraId="7DFE1260" w14:textId="77777777" w:rsidR="00A0544E" w:rsidRPr="00320FE7" w:rsidRDefault="00A0544E" w:rsidP="00C5270A">
            <w:pPr>
              <w:spacing w:line="276" w:lineRule="auto"/>
              <w:jc w:val="right"/>
              <w:rPr>
                <w:rFonts w:cs="Arial"/>
                <w:sz w:val="18"/>
                <w:szCs w:val="18"/>
                <w:lang w:val="en-GB"/>
              </w:rPr>
            </w:pPr>
            <w:r>
              <w:rPr>
                <w:rFonts w:cs="Arial"/>
                <w:sz w:val="18"/>
                <w:szCs w:val="18"/>
                <w:lang w:val="en-GB"/>
              </w:rPr>
              <w:t>Place and date</w:t>
            </w:r>
          </w:p>
        </w:tc>
        <w:tc>
          <w:tcPr>
            <w:tcW w:w="850" w:type="dxa"/>
          </w:tcPr>
          <w:p w14:paraId="1713EAFB" w14:textId="77777777" w:rsidR="00A0544E" w:rsidRPr="00320FE7" w:rsidRDefault="00A0544E" w:rsidP="00C5270A">
            <w:pPr>
              <w:spacing w:line="276" w:lineRule="auto"/>
              <w:jc w:val="both"/>
              <w:rPr>
                <w:rFonts w:cs="Arial"/>
                <w:szCs w:val="20"/>
                <w:lang w:val="en-GB"/>
              </w:rPr>
            </w:pPr>
          </w:p>
        </w:tc>
        <w:tc>
          <w:tcPr>
            <w:tcW w:w="3827" w:type="dxa"/>
            <w:tcBorders>
              <w:top w:val="single" w:sz="4" w:space="0" w:color="auto"/>
              <w:bottom w:val="single" w:sz="4" w:space="0" w:color="auto"/>
            </w:tcBorders>
            <w:vAlign w:val="center"/>
          </w:tcPr>
          <w:p w14:paraId="722A6DA1" w14:textId="77777777" w:rsidR="00A0544E" w:rsidRPr="00320FE7" w:rsidRDefault="00A0544E" w:rsidP="00C5270A">
            <w:pPr>
              <w:spacing w:line="276" w:lineRule="auto"/>
              <w:jc w:val="center"/>
              <w:rPr>
                <w:rFonts w:cs="Arial"/>
                <w:szCs w:val="20"/>
                <w:lang w:val="en-GB"/>
              </w:rPr>
            </w:pPr>
          </w:p>
        </w:tc>
        <w:tc>
          <w:tcPr>
            <w:tcW w:w="1525" w:type="dxa"/>
          </w:tcPr>
          <w:p w14:paraId="60BCC082" w14:textId="77777777" w:rsidR="00A0544E" w:rsidRPr="00320FE7" w:rsidRDefault="00A0544E" w:rsidP="00C5270A">
            <w:pPr>
              <w:spacing w:line="276" w:lineRule="auto"/>
              <w:jc w:val="both"/>
              <w:rPr>
                <w:rFonts w:cs="Arial"/>
                <w:szCs w:val="20"/>
                <w:lang w:val="en-GB"/>
              </w:rPr>
            </w:pPr>
          </w:p>
        </w:tc>
      </w:tr>
    </w:tbl>
    <w:p w14:paraId="523669A3" w14:textId="77777777" w:rsidR="00A0544E" w:rsidRPr="00320FE7" w:rsidRDefault="00A0544E" w:rsidP="00A0544E">
      <w:pPr>
        <w:spacing w:line="276" w:lineRule="auto"/>
        <w:jc w:val="both"/>
        <w:rPr>
          <w:rFonts w:cs="Arial"/>
          <w:szCs w:val="20"/>
          <w:lang w:val="en-GB"/>
        </w:rPr>
      </w:pPr>
    </w:p>
    <w:p w14:paraId="0C7F7A4B" w14:textId="77777777" w:rsidR="00A0544E" w:rsidRPr="00320FE7" w:rsidRDefault="00A0544E" w:rsidP="00A0544E">
      <w:pPr>
        <w:jc w:val="both"/>
        <w:rPr>
          <w:rFonts w:cs="Arial"/>
          <w:szCs w:val="20"/>
          <w:lang w:val="en-GB"/>
        </w:rPr>
      </w:pPr>
    </w:p>
    <w:p w14:paraId="11834E30" w14:textId="77777777" w:rsidR="00A0544E" w:rsidRPr="00320FE7" w:rsidRDefault="00A0544E" w:rsidP="00A0544E">
      <w:pPr>
        <w:jc w:val="both"/>
        <w:rPr>
          <w:rFonts w:cs="Arial"/>
          <w:szCs w:val="20"/>
          <w:lang w:val="en-GB"/>
        </w:rPr>
      </w:pPr>
    </w:p>
    <w:p w14:paraId="755B5117" w14:textId="77777777" w:rsidR="00A0544E" w:rsidRPr="00320FE7" w:rsidRDefault="00A0544E" w:rsidP="00A0544E">
      <w:pPr>
        <w:spacing w:line="276" w:lineRule="auto"/>
        <w:jc w:val="center"/>
        <w:rPr>
          <w:rFonts w:cs="Arial"/>
          <w:b/>
          <w:bCs/>
          <w:szCs w:val="20"/>
          <w:lang w:val="en-GB"/>
        </w:rPr>
      </w:pPr>
    </w:p>
    <w:p w14:paraId="4B42CE66" w14:textId="77777777" w:rsidR="00A0544E" w:rsidRPr="00320FE7" w:rsidRDefault="00A0544E" w:rsidP="00A0544E">
      <w:pPr>
        <w:spacing w:line="276" w:lineRule="auto"/>
        <w:jc w:val="center"/>
        <w:rPr>
          <w:rFonts w:cs="Arial"/>
          <w:b/>
          <w:bCs/>
          <w:szCs w:val="20"/>
          <w:lang w:val="en-GB"/>
        </w:rPr>
      </w:pPr>
    </w:p>
    <w:p w14:paraId="5CF50063" w14:textId="77777777" w:rsidR="00A0544E" w:rsidRPr="00320FE7" w:rsidRDefault="00A0544E" w:rsidP="00A0544E">
      <w:pPr>
        <w:spacing w:line="276" w:lineRule="auto"/>
        <w:jc w:val="center"/>
        <w:rPr>
          <w:rFonts w:cs="Arial"/>
          <w:b/>
          <w:bCs/>
          <w:szCs w:val="20"/>
          <w:lang w:val="en-GB"/>
        </w:rPr>
      </w:pPr>
    </w:p>
    <w:p w14:paraId="3E1CADEE" w14:textId="77777777" w:rsidR="00A0544E" w:rsidRPr="00320FE7" w:rsidRDefault="00A0544E" w:rsidP="00A0544E">
      <w:pPr>
        <w:spacing w:line="276" w:lineRule="auto"/>
        <w:jc w:val="center"/>
        <w:rPr>
          <w:rFonts w:cs="Arial"/>
          <w:b/>
          <w:bCs/>
          <w:szCs w:val="20"/>
          <w:lang w:val="en-GB"/>
        </w:rPr>
      </w:pPr>
    </w:p>
    <w:p w14:paraId="6D4966BD" w14:textId="77777777" w:rsidR="00A0544E" w:rsidRPr="00320FE7" w:rsidRDefault="00A0544E" w:rsidP="00A0544E">
      <w:pPr>
        <w:spacing w:line="276" w:lineRule="auto"/>
        <w:jc w:val="center"/>
        <w:rPr>
          <w:rFonts w:cs="Arial"/>
          <w:b/>
          <w:bCs/>
          <w:szCs w:val="20"/>
          <w:lang w:val="en-GB"/>
        </w:rPr>
      </w:pPr>
    </w:p>
    <w:p w14:paraId="33F7545A" w14:textId="77777777" w:rsidR="00A0544E" w:rsidRPr="00320FE7" w:rsidRDefault="00A0544E" w:rsidP="00A0544E">
      <w:pPr>
        <w:spacing w:line="276" w:lineRule="auto"/>
        <w:jc w:val="center"/>
        <w:rPr>
          <w:rFonts w:cs="Arial"/>
          <w:b/>
          <w:bCs/>
          <w:szCs w:val="20"/>
          <w:lang w:val="en-GB"/>
        </w:rPr>
      </w:pPr>
    </w:p>
    <w:p w14:paraId="290D760E" w14:textId="77777777" w:rsidR="00A0544E" w:rsidRPr="00320FE7" w:rsidRDefault="00A0544E" w:rsidP="00034981">
      <w:pPr>
        <w:pStyle w:val="Heading2"/>
        <w:jc w:val="center"/>
        <w:rPr>
          <w:lang w:val="en-GB"/>
        </w:rPr>
      </w:pPr>
      <w:bookmarkStart w:id="17" w:name="_Toc193374166"/>
      <w:bookmarkStart w:id="18" w:name="_Toc230164075"/>
      <w:r w:rsidRPr="00320FE7">
        <w:rPr>
          <w:lang w:val="en-GB"/>
        </w:rPr>
        <w:lastRenderedPageBreak/>
        <w:t>DA</w:t>
      </w:r>
      <w:r>
        <w:rPr>
          <w:lang w:val="en-GB"/>
        </w:rPr>
        <w:t>TA ON APPLICANT</w:t>
      </w:r>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65"/>
      </w:tblGrid>
      <w:tr w:rsidR="00A0544E" w:rsidRPr="00320FE7" w14:paraId="5D062819" w14:textId="77777777" w:rsidTr="00C5270A">
        <w:trPr>
          <w:trHeight w:val="340"/>
        </w:trPr>
        <w:tc>
          <w:tcPr>
            <w:tcW w:w="5000" w:type="pct"/>
            <w:gridSpan w:val="2"/>
            <w:shd w:val="clear" w:color="auto" w:fill="EDEDED" w:themeFill="accent3" w:themeFillTint="33"/>
            <w:vAlign w:val="center"/>
          </w:tcPr>
          <w:p w14:paraId="0476CF95" w14:textId="77777777" w:rsidR="00A0544E" w:rsidRPr="00320FE7" w:rsidRDefault="00A0544E" w:rsidP="00C5270A">
            <w:pPr>
              <w:jc w:val="center"/>
              <w:rPr>
                <w:rFonts w:cs="Arial"/>
                <w:b/>
                <w:bCs/>
                <w:color w:val="000000" w:themeColor="text1"/>
                <w:lang w:val="en-GB"/>
              </w:rPr>
            </w:pPr>
            <w:r w:rsidRPr="59B2016F">
              <w:rPr>
                <w:rFonts w:cs="Arial"/>
                <w:b/>
                <w:bCs/>
                <w:color w:val="000000" w:themeColor="text1"/>
                <w:lang w:val="en-GB"/>
              </w:rPr>
              <w:t xml:space="preserve">Data on person submitting </w:t>
            </w:r>
            <w:r w:rsidRPr="00D73F5C">
              <w:rPr>
                <w:rFonts w:cs="Arial"/>
                <w:b/>
                <w:bCs/>
                <w:color w:val="000000" w:themeColor="text1"/>
                <w:lang w:val="en-GB"/>
              </w:rPr>
              <w:t>Investment Opportunity form</w:t>
            </w:r>
          </w:p>
        </w:tc>
      </w:tr>
      <w:tr w:rsidR="00A0544E" w:rsidRPr="00320FE7" w14:paraId="6835168B" w14:textId="77777777" w:rsidTr="00C5270A">
        <w:trPr>
          <w:trHeight w:val="340"/>
        </w:trPr>
        <w:tc>
          <w:tcPr>
            <w:tcW w:w="1526" w:type="pct"/>
            <w:vAlign w:val="center"/>
          </w:tcPr>
          <w:p w14:paraId="503D1DEC" w14:textId="77777777" w:rsidR="00A0544E" w:rsidRPr="00320FE7" w:rsidRDefault="00A0544E" w:rsidP="00C5270A">
            <w:pPr>
              <w:rPr>
                <w:rFonts w:cs="Arial"/>
                <w:color w:val="000000" w:themeColor="text1"/>
                <w:szCs w:val="20"/>
                <w:lang w:val="en-GB"/>
              </w:rPr>
            </w:pPr>
            <w:r w:rsidRPr="00320FE7">
              <w:rPr>
                <w:rFonts w:cs="Arial"/>
                <w:color w:val="000000" w:themeColor="text1"/>
                <w:szCs w:val="20"/>
                <w:lang w:val="en-GB"/>
              </w:rPr>
              <w:t>Na</w:t>
            </w:r>
            <w:r>
              <w:rPr>
                <w:rFonts w:cs="Arial"/>
                <w:color w:val="000000" w:themeColor="text1"/>
                <w:szCs w:val="20"/>
                <w:lang w:val="en-GB"/>
              </w:rPr>
              <w:t>me</w:t>
            </w:r>
            <w:r w:rsidRPr="00320FE7">
              <w:rPr>
                <w:rFonts w:cs="Arial"/>
                <w:color w:val="000000" w:themeColor="text1"/>
                <w:szCs w:val="20"/>
                <w:lang w:val="en-GB"/>
              </w:rPr>
              <w:t xml:space="preserve"> </w:t>
            </w:r>
          </w:p>
        </w:tc>
        <w:tc>
          <w:tcPr>
            <w:tcW w:w="3474" w:type="pct"/>
            <w:vAlign w:val="center"/>
          </w:tcPr>
          <w:p w14:paraId="53B1D494" w14:textId="77777777" w:rsidR="00A0544E" w:rsidRPr="00320FE7" w:rsidRDefault="00A0544E" w:rsidP="00C5270A">
            <w:pPr>
              <w:rPr>
                <w:rFonts w:cs="Arial"/>
                <w:color w:val="000000" w:themeColor="text1"/>
                <w:szCs w:val="20"/>
                <w:lang w:val="en-GB"/>
              </w:rPr>
            </w:pPr>
          </w:p>
        </w:tc>
      </w:tr>
      <w:tr w:rsidR="00A0544E" w:rsidRPr="00320FE7" w14:paraId="068E4B3C" w14:textId="77777777" w:rsidTr="00C5270A">
        <w:trPr>
          <w:trHeight w:val="340"/>
        </w:trPr>
        <w:tc>
          <w:tcPr>
            <w:tcW w:w="1526" w:type="pct"/>
            <w:vAlign w:val="center"/>
          </w:tcPr>
          <w:p w14:paraId="57AEB819"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 xml:space="preserve">Legal form </w:t>
            </w:r>
            <w:r w:rsidRPr="00320FE7">
              <w:rPr>
                <w:rFonts w:cs="Arial"/>
                <w:color w:val="000000" w:themeColor="text1"/>
                <w:szCs w:val="20"/>
                <w:lang w:val="en-GB"/>
              </w:rPr>
              <w:t xml:space="preserve"> </w:t>
            </w:r>
          </w:p>
        </w:tc>
        <w:tc>
          <w:tcPr>
            <w:tcW w:w="3474" w:type="pct"/>
            <w:vAlign w:val="center"/>
          </w:tcPr>
          <w:p w14:paraId="64D97C9C" w14:textId="77777777" w:rsidR="00A0544E" w:rsidRPr="00320FE7" w:rsidRDefault="00A0544E" w:rsidP="00C5270A">
            <w:pPr>
              <w:rPr>
                <w:rFonts w:cs="Arial"/>
                <w:color w:val="000000" w:themeColor="text1"/>
                <w:szCs w:val="20"/>
                <w:lang w:val="en-GB"/>
              </w:rPr>
            </w:pPr>
          </w:p>
        </w:tc>
      </w:tr>
      <w:tr w:rsidR="00A0544E" w:rsidRPr="00320FE7" w14:paraId="344F94E5" w14:textId="77777777" w:rsidTr="00C5270A">
        <w:trPr>
          <w:trHeight w:val="340"/>
        </w:trPr>
        <w:tc>
          <w:tcPr>
            <w:tcW w:w="1526" w:type="pct"/>
            <w:vAlign w:val="center"/>
          </w:tcPr>
          <w:p w14:paraId="1BE8F91E"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Court register data</w:t>
            </w:r>
            <w:r w:rsidRPr="00320FE7">
              <w:rPr>
                <w:rFonts w:cs="Arial"/>
                <w:color w:val="000000" w:themeColor="text1"/>
                <w:szCs w:val="20"/>
                <w:lang w:val="en-GB"/>
              </w:rPr>
              <w:t xml:space="preserve"> </w:t>
            </w:r>
          </w:p>
          <w:p w14:paraId="53A9AFD7" w14:textId="77777777" w:rsidR="00A0544E" w:rsidRPr="00320FE7" w:rsidRDefault="00A0544E" w:rsidP="00C5270A">
            <w:pPr>
              <w:rPr>
                <w:rFonts w:cs="Arial"/>
                <w:color w:val="000000" w:themeColor="text1"/>
                <w:szCs w:val="20"/>
                <w:lang w:val="en-GB"/>
              </w:rPr>
            </w:pPr>
            <w:r w:rsidRPr="00320FE7">
              <w:rPr>
                <w:rFonts w:cs="Arial"/>
                <w:color w:val="000000" w:themeColor="text1"/>
                <w:sz w:val="16"/>
                <w:szCs w:val="16"/>
                <w:lang w:val="en-GB"/>
              </w:rPr>
              <w:t>(na</w:t>
            </w:r>
            <w:r>
              <w:rPr>
                <w:rFonts w:cs="Arial"/>
                <w:color w:val="000000" w:themeColor="text1"/>
                <w:sz w:val="16"/>
                <w:szCs w:val="16"/>
                <w:lang w:val="en-GB"/>
              </w:rPr>
              <w:t xml:space="preserve">me of commercial court, date of entry, </w:t>
            </w:r>
            <w:r w:rsidRPr="00320FE7">
              <w:rPr>
                <w:rFonts w:cs="Arial"/>
                <w:color w:val="000000" w:themeColor="text1"/>
                <w:sz w:val="16"/>
                <w:szCs w:val="16"/>
                <w:lang w:val="en-GB"/>
              </w:rPr>
              <w:t>OIB</w:t>
            </w:r>
            <w:r>
              <w:rPr>
                <w:rFonts w:cs="Arial"/>
                <w:color w:val="000000" w:themeColor="text1"/>
                <w:sz w:val="16"/>
                <w:szCs w:val="16"/>
                <w:lang w:val="en-GB"/>
              </w:rPr>
              <w:t xml:space="preserve"> (PIN)</w:t>
            </w:r>
            <w:r w:rsidRPr="00320FE7">
              <w:rPr>
                <w:rFonts w:cs="Arial"/>
                <w:color w:val="000000" w:themeColor="text1"/>
                <w:sz w:val="16"/>
                <w:szCs w:val="16"/>
                <w:lang w:val="en-GB"/>
              </w:rPr>
              <w:t xml:space="preserve"> / MBS</w:t>
            </w:r>
            <w:r>
              <w:rPr>
                <w:rFonts w:cs="Arial"/>
                <w:color w:val="000000" w:themeColor="text1"/>
                <w:sz w:val="16"/>
                <w:szCs w:val="16"/>
                <w:lang w:val="en-GB"/>
              </w:rPr>
              <w:t xml:space="preserve"> (entity registration number</w:t>
            </w:r>
            <w:r w:rsidRPr="00320FE7">
              <w:rPr>
                <w:rFonts w:cs="Arial"/>
                <w:color w:val="000000" w:themeColor="text1"/>
                <w:sz w:val="16"/>
                <w:szCs w:val="16"/>
                <w:lang w:val="en-GB"/>
              </w:rPr>
              <w:t>)</w:t>
            </w:r>
          </w:p>
        </w:tc>
        <w:tc>
          <w:tcPr>
            <w:tcW w:w="3474" w:type="pct"/>
            <w:vAlign w:val="center"/>
          </w:tcPr>
          <w:p w14:paraId="2FCBB0EF" w14:textId="77777777" w:rsidR="00A0544E" w:rsidRPr="00320FE7" w:rsidRDefault="00A0544E" w:rsidP="00C5270A">
            <w:pPr>
              <w:rPr>
                <w:rFonts w:cs="Arial"/>
                <w:color w:val="000000" w:themeColor="text1"/>
                <w:szCs w:val="20"/>
                <w:lang w:val="en-GB"/>
              </w:rPr>
            </w:pPr>
          </w:p>
        </w:tc>
      </w:tr>
      <w:tr w:rsidR="00A0544E" w:rsidRPr="00320FE7" w14:paraId="392CA4C5" w14:textId="77777777" w:rsidTr="00C5270A">
        <w:trPr>
          <w:trHeight w:val="340"/>
        </w:trPr>
        <w:tc>
          <w:tcPr>
            <w:tcW w:w="5000" w:type="pct"/>
            <w:gridSpan w:val="2"/>
            <w:shd w:val="clear" w:color="auto" w:fill="EDEDED" w:themeFill="accent3" w:themeFillTint="33"/>
            <w:vAlign w:val="center"/>
          </w:tcPr>
          <w:p w14:paraId="6C0FE763" w14:textId="77777777" w:rsidR="00A0544E" w:rsidRPr="00320FE7" w:rsidRDefault="00A0544E" w:rsidP="00C5270A">
            <w:pPr>
              <w:rPr>
                <w:rFonts w:cs="Arial"/>
                <w:color w:val="000000" w:themeColor="text1"/>
                <w:szCs w:val="20"/>
                <w:lang w:val="en-GB"/>
              </w:rPr>
            </w:pPr>
            <w:r w:rsidRPr="00320FE7">
              <w:rPr>
                <w:rFonts w:cs="Arial"/>
                <w:color w:val="000000" w:themeColor="text1"/>
                <w:szCs w:val="20"/>
                <w:lang w:val="en-GB"/>
              </w:rPr>
              <w:tab/>
              <w:t>A</w:t>
            </w:r>
            <w:r>
              <w:rPr>
                <w:rFonts w:cs="Arial"/>
                <w:color w:val="000000" w:themeColor="text1"/>
                <w:szCs w:val="20"/>
                <w:lang w:val="en-GB"/>
              </w:rPr>
              <w:t>d</w:t>
            </w:r>
            <w:r w:rsidRPr="00320FE7">
              <w:rPr>
                <w:rFonts w:cs="Arial"/>
                <w:color w:val="000000" w:themeColor="text1"/>
                <w:szCs w:val="20"/>
                <w:lang w:val="en-GB"/>
              </w:rPr>
              <w:t>dre</w:t>
            </w:r>
            <w:r>
              <w:rPr>
                <w:rFonts w:cs="Arial"/>
                <w:color w:val="000000" w:themeColor="text1"/>
                <w:szCs w:val="20"/>
                <w:lang w:val="en-GB"/>
              </w:rPr>
              <w:t>s</w:t>
            </w:r>
            <w:r w:rsidRPr="00320FE7">
              <w:rPr>
                <w:rFonts w:cs="Arial"/>
                <w:color w:val="000000" w:themeColor="text1"/>
                <w:szCs w:val="20"/>
                <w:lang w:val="en-GB"/>
              </w:rPr>
              <w:t>s</w:t>
            </w:r>
          </w:p>
        </w:tc>
      </w:tr>
      <w:tr w:rsidR="00A0544E" w:rsidRPr="00320FE7" w14:paraId="436CDC98" w14:textId="77777777" w:rsidTr="00C5270A">
        <w:trPr>
          <w:trHeight w:val="340"/>
        </w:trPr>
        <w:tc>
          <w:tcPr>
            <w:tcW w:w="1526" w:type="pct"/>
            <w:vAlign w:val="center"/>
          </w:tcPr>
          <w:p w14:paraId="00B9F150" w14:textId="77777777" w:rsidR="00A0544E" w:rsidRPr="00320FE7" w:rsidRDefault="00A0544E" w:rsidP="00C5270A">
            <w:pPr>
              <w:rPr>
                <w:rFonts w:cs="Arial"/>
                <w:color w:val="000000" w:themeColor="text1"/>
                <w:szCs w:val="20"/>
                <w:lang w:val="en-GB"/>
              </w:rPr>
            </w:pPr>
            <w:r w:rsidRPr="00320FE7">
              <w:rPr>
                <w:rFonts w:cs="Arial"/>
                <w:color w:val="000000" w:themeColor="text1"/>
                <w:szCs w:val="20"/>
                <w:lang w:val="en-GB"/>
              </w:rPr>
              <w:t>Na</w:t>
            </w:r>
            <w:r>
              <w:rPr>
                <w:rFonts w:cs="Arial"/>
                <w:color w:val="000000" w:themeColor="text1"/>
                <w:szCs w:val="20"/>
                <w:lang w:val="en-GB"/>
              </w:rPr>
              <w:t xml:space="preserve">me of street </w:t>
            </w:r>
          </w:p>
        </w:tc>
        <w:tc>
          <w:tcPr>
            <w:tcW w:w="3474" w:type="pct"/>
            <w:vAlign w:val="center"/>
          </w:tcPr>
          <w:p w14:paraId="786B3212" w14:textId="77777777" w:rsidR="00A0544E" w:rsidRPr="00320FE7" w:rsidRDefault="00A0544E" w:rsidP="00C5270A">
            <w:pPr>
              <w:rPr>
                <w:rFonts w:cs="Arial"/>
                <w:color w:val="000000" w:themeColor="text1"/>
                <w:szCs w:val="20"/>
                <w:lang w:val="en-GB"/>
              </w:rPr>
            </w:pPr>
          </w:p>
        </w:tc>
      </w:tr>
      <w:tr w:rsidR="00A0544E" w:rsidRPr="00320FE7" w14:paraId="4A6577F5" w14:textId="77777777" w:rsidTr="00C5270A">
        <w:trPr>
          <w:trHeight w:val="340"/>
        </w:trPr>
        <w:tc>
          <w:tcPr>
            <w:tcW w:w="1526" w:type="pct"/>
            <w:vAlign w:val="center"/>
          </w:tcPr>
          <w:p w14:paraId="42578291"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 xml:space="preserve">City </w:t>
            </w:r>
          </w:p>
        </w:tc>
        <w:tc>
          <w:tcPr>
            <w:tcW w:w="3474" w:type="pct"/>
            <w:vAlign w:val="center"/>
          </w:tcPr>
          <w:p w14:paraId="3238DC3A" w14:textId="77777777" w:rsidR="00A0544E" w:rsidRPr="00320FE7" w:rsidRDefault="00A0544E" w:rsidP="00C5270A">
            <w:pPr>
              <w:rPr>
                <w:rFonts w:cs="Arial"/>
                <w:color w:val="000000" w:themeColor="text1"/>
                <w:szCs w:val="20"/>
                <w:lang w:val="en-GB"/>
              </w:rPr>
            </w:pPr>
          </w:p>
        </w:tc>
      </w:tr>
      <w:tr w:rsidR="00A0544E" w:rsidRPr="00320FE7" w14:paraId="2B45F8FE" w14:textId="77777777" w:rsidTr="00C5270A">
        <w:trPr>
          <w:trHeight w:val="340"/>
        </w:trPr>
        <w:tc>
          <w:tcPr>
            <w:tcW w:w="1526" w:type="pct"/>
            <w:vAlign w:val="center"/>
          </w:tcPr>
          <w:p w14:paraId="31B7D882" w14:textId="77777777" w:rsidR="00A0544E" w:rsidRPr="00320FE7" w:rsidRDefault="00A0544E" w:rsidP="00C5270A">
            <w:pPr>
              <w:rPr>
                <w:rFonts w:cs="Arial"/>
                <w:color w:val="000000" w:themeColor="text1"/>
                <w:szCs w:val="20"/>
                <w:lang w:val="en-GB"/>
              </w:rPr>
            </w:pPr>
            <w:r w:rsidRPr="00320FE7">
              <w:rPr>
                <w:rFonts w:cs="Arial"/>
                <w:color w:val="000000" w:themeColor="text1"/>
                <w:szCs w:val="20"/>
                <w:lang w:val="en-GB"/>
              </w:rPr>
              <w:t>Po</w:t>
            </w:r>
            <w:r>
              <w:rPr>
                <w:rFonts w:cs="Arial"/>
                <w:color w:val="000000" w:themeColor="text1"/>
                <w:szCs w:val="20"/>
                <w:lang w:val="en-GB"/>
              </w:rPr>
              <w:t xml:space="preserve">stal number </w:t>
            </w:r>
          </w:p>
        </w:tc>
        <w:tc>
          <w:tcPr>
            <w:tcW w:w="3474" w:type="pct"/>
            <w:vAlign w:val="center"/>
          </w:tcPr>
          <w:p w14:paraId="74F9B948" w14:textId="77777777" w:rsidR="00A0544E" w:rsidRPr="00320FE7" w:rsidRDefault="00A0544E" w:rsidP="00C5270A">
            <w:pPr>
              <w:rPr>
                <w:rFonts w:cs="Arial"/>
                <w:color w:val="000000" w:themeColor="text1"/>
                <w:szCs w:val="20"/>
                <w:lang w:val="en-GB"/>
              </w:rPr>
            </w:pPr>
          </w:p>
        </w:tc>
      </w:tr>
      <w:tr w:rsidR="00A0544E" w:rsidRPr="00320FE7" w14:paraId="6B154AF1" w14:textId="77777777" w:rsidTr="00C5270A">
        <w:trPr>
          <w:trHeight w:val="340"/>
        </w:trPr>
        <w:tc>
          <w:tcPr>
            <w:tcW w:w="1526" w:type="pct"/>
            <w:vAlign w:val="center"/>
          </w:tcPr>
          <w:p w14:paraId="366DE93D"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 xml:space="preserve">Country </w:t>
            </w:r>
          </w:p>
        </w:tc>
        <w:tc>
          <w:tcPr>
            <w:tcW w:w="3474" w:type="pct"/>
            <w:vAlign w:val="center"/>
          </w:tcPr>
          <w:p w14:paraId="31998F25" w14:textId="77777777" w:rsidR="00A0544E" w:rsidRPr="00320FE7" w:rsidRDefault="00A0544E" w:rsidP="00C5270A">
            <w:pPr>
              <w:rPr>
                <w:rFonts w:cs="Arial"/>
                <w:color w:val="000000" w:themeColor="text1"/>
                <w:szCs w:val="20"/>
                <w:lang w:val="en-GB"/>
              </w:rPr>
            </w:pPr>
          </w:p>
        </w:tc>
      </w:tr>
    </w:tbl>
    <w:p w14:paraId="2AE8EADA" w14:textId="77777777" w:rsidR="00A0544E" w:rsidRPr="00320FE7" w:rsidRDefault="00A0544E" w:rsidP="00A0544E">
      <w:pPr>
        <w:rPr>
          <w:rFonts w:cs="Arial"/>
          <w:color w:val="000000" w:themeColor="text1"/>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2972"/>
        <w:gridCol w:w="6765"/>
      </w:tblGrid>
      <w:tr w:rsidR="00A0544E" w:rsidRPr="00852BC1" w14:paraId="72D870E9" w14:textId="77777777" w:rsidTr="00C5270A">
        <w:trPr>
          <w:trHeight w:val="340"/>
        </w:trPr>
        <w:tc>
          <w:tcPr>
            <w:tcW w:w="5000" w:type="pct"/>
            <w:gridSpan w:val="2"/>
            <w:shd w:val="clear" w:color="auto" w:fill="EDEDED" w:themeFill="accent3" w:themeFillTint="33"/>
            <w:vAlign w:val="center"/>
          </w:tcPr>
          <w:p w14:paraId="448664DE" w14:textId="77777777" w:rsidR="00A0544E" w:rsidRPr="00852BC1" w:rsidRDefault="00A0544E" w:rsidP="00C5270A">
            <w:pPr>
              <w:jc w:val="center"/>
              <w:rPr>
                <w:rFonts w:cs="Arial"/>
                <w:b/>
                <w:bCs/>
                <w:color w:val="000000" w:themeColor="text1"/>
                <w:lang w:val="en-GB"/>
              </w:rPr>
            </w:pPr>
            <w:r w:rsidRPr="00852BC1">
              <w:rPr>
                <w:rFonts w:cs="Arial"/>
                <w:b/>
                <w:bCs/>
                <w:color w:val="000000" w:themeColor="text1"/>
                <w:lang w:val="en-GB"/>
              </w:rPr>
              <w:t>Data on person authorised to submit Investment Opportunity form</w:t>
            </w:r>
          </w:p>
        </w:tc>
      </w:tr>
      <w:tr w:rsidR="00A0544E" w:rsidRPr="00852BC1" w14:paraId="21A06BBB" w14:textId="77777777" w:rsidTr="00C5270A">
        <w:tblPrEx>
          <w:tblLook w:val="01E0" w:firstRow="1" w:lastRow="1" w:firstColumn="1" w:lastColumn="1" w:noHBand="0" w:noVBand="0"/>
        </w:tblPrEx>
        <w:trPr>
          <w:trHeight w:val="340"/>
        </w:trPr>
        <w:tc>
          <w:tcPr>
            <w:tcW w:w="1526" w:type="pct"/>
            <w:vAlign w:val="center"/>
          </w:tcPr>
          <w:p w14:paraId="747099CC"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First name and last name</w:t>
            </w:r>
          </w:p>
        </w:tc>
        <w:tc>
          <w:tcPr>
            <w:tcW w:w="3474" w:type="pct"/>
          </w:tcPr>
          <w:p w14:paraId="1EC90A64" w14:textId="77777777" w:rsidR="00A0544E" w:rsidRPr="00852BC1" w:rsidRDefault="00A0544E" w:rsidP="00C5270A">
            <w:pPr>
              <w:jc w:val="both"/>
              <w:rPr>
                <w:rFonts w:cs="Arial"/>
                <w:color w:val="000000" w:themeColor="text1"/>
                <w:szCs w:val="20"/>
                <w:lang w:val="en-GB"/>
              </w:rPr>
            </w:pPr>
          </w:p>
        </w:tc>
      </w:tr>
      <w:tr w:rsidR="00A0544E" w:rsidRPr="00852BC1" w14:paraId="48262AC8" w14:textId="77777777" w:rsidTr="00C5270A">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2251B0C3"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 xml:space="preserve">Position </w:t>
            </w:r>
          </w:p>
        </w:tc>
        <w:tc>
          <w:tcPr>
            <w:tcW w:w="3474" w:type="pct"/>
            <w:tcBorders>
              <w:top w:val="single" w:sz="4" w:space="0" w:color="auto"/>
              <w:left w:val="single" w:sz="4" w:space="0" w:color="auto"/>
              <w:bottom w:val="single" w:sz="4" w:space="0" w:color="auto"/>
              <w:right w:val="single" w:sz="4" w:space="0" w:color="auto"/>
            </w:tcBorders>
          </w:tcPr>
          <w:p w14:paraId="32F6FBC9" w14:textId="77777777" w:rsidR="00A0544E" w:rsidRPr="00852BC1" w:rsidRDefault="00A0544E" w:rsidP="00C5270A">
            <w:pPr>
              <w:jc w:val="both"/>
              <w:rPr>
                <w:rFonts w:cs="Arial"/>
                <w:color w:val="000000" w:themeColor="text1"/>
                <w:szCs w:val="20"/>
                <w:lang w:val="en-GB"/>
              </w:rPr>
            </w:pPr>
          </w:p>
        </w:tc>
      </w:tr>
      <w:tr w:rsidR="00A0544E" w:rsidRPr="00852BC1" w14:paraId="7D156657" w14:textId="77777777" w:rsidTr="00C5270A">
        <w:tblPrEx>
          <w:tblLook w:val="01E0" w:firstRow="1" w:lastRow="1" w:firstColumn="1" w:lastColumn="1" w:noHBand="0" w:noVBand="0"/>
        </w:tblPrEx>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440F8C"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Address</w:t>
            </w:r>
          </w:p>
        </w:tc>
      </w:tr>
      <w:tr w:rsidR="00A0544E" w:rsidRPr="00852BC1" w14:paraId="29137CE6" w14:textId="77777777" w:rsidTr="00C5270A">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39041ACE" w14:textId="77777777" w:rsidR="00A0544E" w:rsidRPr="00852BC1" w:rsidDel="00527D35" w:rsidRDefault="00A0544E" w:rsidP="00C5270A">
            <w:pPr>
              <w:rPr>
                <w:rFonts w:cs="Arial"/>
                <w:color w:val="000000" w:themeColor="text1"/>
                <w:szCs w:val="20"/>
                <w:lang w:val="en-GB"/>
              </w:rPr>
            </w:pPr>
            <w:r w:rsidRPr="00852BC1">
              <w:rPr>
                <w:rFonts w:cs="Arial"/>
                <w:color w:val="000000" w:themeColor="text1"/>
                <w:szCs w:val="20"/>
                <w:lang w:val="en-GB"/>
              </w:rPr>
              <w:t xml:space="preserve">Name of street </w:t>
            </w:r>
          </w:p>
        </w:tc>
        <w:tc>
          <w:tcPr>
            <w:tcW w:w="3474" w:type="pct"/>
            <w:tcBorders>
              <w:top w:val="single" w:sz="4" w:space="0" w:color="auto"/>
              <w:left w:val="single" w:sz="4" w:space="0" w:color="auto"/>
              <w:bottom w:val="single" w:sz="4" w:space="0" w:color="auto"/>
              <w:right w:val="single" w:sz="4" w:space="0" w:color="auto"/>
            </w:tcBorders>
          </w:tcPr>
          <w:p w14:paraId="6D852CC5" w14:textId="77777777" w:rsidR="00A0544E" w:rsidRPr="00852BC1" w:rsidRDefault="00A0544E" w:rsidP="00C5270A">
            <w:pPr>
              <w:jc w:val="both"/>
              <w:rPr>
                <w:rFonts w:cs="Arial"/>
                <w:color w:val="000000" w:themeColor="text1"/>
                <w:szCs w:val="20"/>
                <w:lang w:val="en-GB"/>
              </w:rPr>
            </w:pPr>
          </w:p>
        </w:tc>
      </w:tr>
      <w:tr w:rsidR="00A0544E" w:rsidRPr="00852BC1" w14:paraId="187C2334" w14:textId="77777777" w:rsidTr="00C5270A">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BAB5CCB"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 xml:space="preserve">City </w:t>
            </w:r>
          </w:p>
        </w:tc>
        <w:tc>
          <w:tcPr>
            <w:tcW w:w="3474" w:type="pct"/>
            <w:tcBorders>
              <w:top w:val="single" w:sz="4" w:space="0" w:color="auto"/>
              <w:left w:val="single" w:sz="4" w:space="0" w:color="auto"/>
              <w:bottom w:val="single" w:sz="4" w:space="0" w:color="auto"/>
              <w:right w:val="single" w:sz="4" w:space="0" w:color="auto"/>
            </w:tcBorders>
          </w:tcPr>
          <w:p w14:paraId="2813BE66" w14:textId="77777777" w:rsidR="00A0544E" w:rsidRPr="00852BC1" w:rsidRDefault="00A0544E" w:rsidP="00C5270A">
            <w:pPr>
              <w:jc w:val="both"/>
              <w:rPr>
                <w:rFonts w:cs="Arial"/>
                <w:color w:val="000000" w:themeColor="text1"/>
                <w:szCs w:val="20"/>
                <w:lang w:val="en-GB"/>
              </w:rPr>
            </w:pPr>
          </w:p>
        </w:tc>
      </w:tr>
      <w:tr w:rsidR="00A0544E" w:rsidRPr="00852BC1" w14:paraId="46A420BD" w14:textId="77777777" w:rsidTr="00C5270A">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D5F34B1"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 xml:space="preserve">Postal number </w:t>
            </w:r>
          </w:p>
        </w:tc>
        <w:tc>
          <w:tcPr>
            <w:tcW w:w="3474" w:type="pct"/>
            <w:tcBorders>
              <w:top w:val="single" w:sz="4" w:space="0" w:color="auto"/>
              <w:left w:val="single" w:sz="4" w:space="0" w:color="auto"/>
              <w:bottom w:val="single" w:sz="4" w:space="0" w:color="auto"/>
              <w:right w:val="single" w:sz="4" w:space="0" w:color="auto"/>
            </w:tcBorders>
          </w:tcPr>
          <w:p w14:paraId="787549FB" w14:textId="77777777" w:rsidR="00A0544E" w:rsidRPr="00852BC1" w:rsidRDefault="00A0544E" w:rsidP="00C5270A">
            <w:pPr>
              <w:jc w:val="both"/>
              <w:rPr>
                <w:rFonts w:cs="Arial"/>
                <w:color w:val="000000" w:themeColor="text1"/>
                <w:szCs w:val="20"/>
                <w:lang w:val="en-GB"/>
              </w:rPr>
            </w:pPr>
          </w:p>
        </w:tc>
      </w:tr>
      <w:tr w:rsidR="00A0544E" w:rsidRPr="00852BC1" w14:paraId="138FC4F7" w14:textId="77777777" w:rsidTr="00C5270A">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2188C48F"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 xml:space="preserve">Country </w:t>
            </w:r>
          </w:p>
        </w:tc>
        <w:tc>
          <w:tcPr>
            <w:tcW w:w="3474" w:type="pct"/>
            <w:tcBorders>
              <w:top w:val="single" w:sz="4" w:space="0" w:color="auto"/>
              <w:left w:val="single" w:sz="4" w:space="0" w:color="auto"/>
              <w:bottom w:val="single" w:sz="4" w:space="0" w:color="auto"/>
              <w:right w:val="single" w:sz="4" w:space="0" w:color="auto"/>
            </w:tcBorders>
          </w:tcPr>
          <w:p w14:paraId="16E969E2" w14:textId="77777777" w:rsidR="00A0544E" w:rsidRPr="00852BC1" w:rsidRDefault="00A0544E" w:rsidP="00C5270A">
            <w:pPr>
              <w:jc w:val="both"/>
              <w:rPr>
                <w:rFonts w:cs="Arial"/>
                <w:i/>
                <w:color w:val="000000" w:themeColor="text1"/>
                <w:szCs w:val="20"/>
                <w:lang w:val="en-GB"/>
              </w:rPr>
            </w:pPr>
          </w:p>
        </w:tc>
      </w:tr>
      <w:tr w:rsidR="00A0544E" w:rsidRPr="00852BC1" w14:paraId="63D7936C" w14:textId="77777777" w:rsidTr="00C5270A">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0D84049C"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 xml:space="preserve">Phone </w:t>
            </w:r>
          </w:p>
        </w:tc>
        <w:tc>
          <w:tcPr>
            <w:tcW w:w="3474" w:type="pct"/>
            <w:tcBorders>
              <w:top w:val="single" w:sz="4" w:space="0" w:color="auto"/>
              <w:left w:val="single" w:sz="4" w:space="0" w:color="auto"/>
              <w:bottom w:val="single" w:sz="4" w:space="0" w:color="auto"/>
              <w:right w:val="single" w:sz="4" w:space="0" w:color="auto"/>
            </w:tcBorders>
          </w:tcPr>
          <w:p w14:paraId="1CB19616" w14:textId="77777777" w:rsidR="00A0544E" w:rsidRPr="00852BC1" w:rsidRDefault="00A0544E" w:rsidP="00C5270A">
            <w:pPr>
              <w:jc w:val="both"/>
              <w:rPr>
                <w:rFonts w:cs="Arial"/>
                <w:color w:val="000000" w:themeColor="text1"/>
                <w:szCs w:val="20"/>
                <w:lang w:val="en-GB"/>
              </w:rPr>
            </w:pPr>
          </w:p>
        </w:tc>
      </w:tr>
      <w:tr w:rsidR="00A0544E" w:rsidRPr="00852BC1" w14:paraId="73A83A5A" w14:textId="77777777" w:rsidTr="00C5270A">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03F705F" w14:textId="77777777" w:rsidR="00A0544E" w:rsidRPr="00852BC1" w:rsidRDefault="00A0544E" w:rsidP="00C5270A">
            <w:pPr>
              <w:rPr>
                <w:rFonts w:cs="Arial"/>
                <w:color w:val="000000" w:themeColor="text1"/>
                <w:szCs w:val="20"/>
                <w:lang w:val="en-GB"/>
              </w:rPr>
            </w:pPr>
            <w:r w:rsidRPr="00852BC1">
              <w:rPr>
                <w:rFonts w:cs="Arial"/>
                <w:color w:val="000000" w:themeColor="text1"/>
                <w:szCs w:val="20"/>
                <w:lang w:val="en-GB"/>
              </w:rPr>
              <w:t xml:space="preserve">Email </w:t>
            </w:r>
          </w:p>
        </w:tc>
        <w:tc>
          <w:tcPr>
            <w:tcW w:w="3474" w:type="pct"/>
            <w:tcBorders>
              <w:top w:val="single" w:sz="4" w:space="0" w:color="auto"/>
              <w:left w:val="single" w:sz="4" w:space="0" w:color="auto"/>
              <w:bottom w:val="single" w:sz="4" w:space="0" w:color="auto"/>
              <w:right w:val="single" w:sz="4" w:space="0" w:color="auto"/>
            </w:tcBorders>
          </w:tcPr>
          <w:p w14:paraId="7CC6DA0E" w14:textId="77777777" w:rsidR="00A0544E" w:rsidRPr="00852BC1" w:rsidRDefault="00A0544E" w:rsidP="00C5270A">
            <w:pPr>
              <w:jc w:val="both"/>
              <w:rPr>
                <w:rFonts w:cs="Arial"/>
                <w:color w:val="000000" w:themeColor="text1"/>
                <w:szCs w:val="20"/>
                <w:lang w:val="en-GB"/>
              </w:rPr>
            </w:pPr>
          </w:p>
        </w:tc>
      </w:tr>
    </w:tbl>
    <w:p w14:paraId="17D384DC" w14:textId="77777777" w:rsidR="00A0544E" w:rsidRPr="00852BC1" w:rsidRDefault="00A0544E" w:rsidP="00A0544E">
      <w:pPr>
        <w:rPr>
          <w:rFonts w:cs="Arial"/>
          <w:color w:val="000000" w:themeColor="text1"/>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65"/>
      </w:tblGrid>
      <w:tr w:rsidR="00A0544E" w:rsidRPr="00320FE7" w14:paraId="1E30FFFC" w14:textId="77777777" w:rsidTr="00C5270A">
        <w:trPr>
          <w:trHeight w:val="340"/>
        </w:trPr>
        <w:tc>
          <w:tcPr>
            <w:tcW w:w="5000" w:type="pct"/>
            <w:gridSpan w:val="2"/>
            <w:shd w:val="clear" w:color="auto" w:fill="EDEDED" w:themeFill="accent3" w:themeFillTint="33"/>
            <w:vAlign w:val="center"/>
          </w:tcPr>
          <w:p w14:paraId="289CB0A2" w14:textId="77777777" w:rsidR="00A0544E" w:rsidRPr="00320FE7" w:rsidRDefault="00A0544E" w:rsidP="00C5270A">
            <w:pPr>
              <w:jc w:val="center"/>
              <w:rPr>
                <w:rFonts w:cs="Arial"/>
                <w:b/>
                <w:bCs/>
                <w:color w:val="000000" w:themeColor="text1"/>
                <w:lang w:val="en-GB"/>
              </w:rPr>
            </w:pPr>
            <w:r w:rsidRPr="00852BC1">
              <w:rPr>
                <w:rFonts w:cs="Arial"/>
                <w:b/>
                <w:bCs/>
                <w:color w:val="000000" w:themeColor="text1"/>
                <w:lang w:val="en-GB"/>
              </w:rPr>
              <w:t xml:space="preserve">Data on contact person </w:t>
            </w:r>
            <w:r w:rsidRPr="00852BC1">
              <w:rPr>
                <w:rFonts w:cs="Arial"/>
                <w:color w:val="000000" w:themeColor="text1"/>
                <w:sz w:val="18"/>
                <w:szCs w:val="18"/>
                <w:lang w:val="en-GB"/>
              </w:rPr>
              <w:t>(if different from person authorised to submit Investment Opportunity form)</w:t>
            </w:r>
          </w:p>
        </w:tc>
      </w:tr>
      <w:tr w:rsidR="00A0544E" w:rsidRPr="00320FE7" w14:paraId="7095F9D6" w14:textId="77777777" w:rsidTr="00C5270A">
        <w:trPr>
          <w:trHeight w:val="340"/>
        </w:trPr>
        <w:tc>
          <w:tcPr>
            <w:tcW w:w="1526" w:type="pct"/>
            <w:vAlign w:val="center"/>
          </w:tcPr>
          <w:p w14:paraId="58D924D0" w14:textId="77777777" w:rsidR="00A0544E" w:rsidRPr="00320FE7" w:rsidRDefault="00A0544E" w:rsidP="00C5270A">
            <w:pPr>
              <w:rPr>
                <w:rFonts w:cs="Arial"/>
                <w:color w:val="000000" w:themeColor="text1"/>
                <w:szCs w:val="20"/>
                <w:lang w:val="en-GB"/>
              </w:rPr>
            </w:pPr>
            <w:r w:rsidRPr="009E13B6">
              <w:rPr>
                <w:rFonts w:cs="Arial"/>
                <w:color w:val="000000" w:themeColor="text1"/>
                <w:szCs w:val="20"/>
                <w:lang w:val="en-GB"/>
              </w:rPr>
              <w:t>First name and last name</w:t>
            </w:r>
          </w:p>
        </w:tc>
        <w:tc>
          <w:tcPr>
            <w:tcW w:w="3474" w:type="pct"/>
            <w:vAlign w:val="center"/>
          </w:tcPr>
          <w:p w14:paraId="1D66173B" w14:textId="77777777" w:rsidR="00A0544E" w:rsidRPr="00320FE7" w:rsidRDefault="00A0544E" w:rsidP="00C5270A">
            <w:pPr>
              <w:rPr>
                <w:rFonts w:cs="Arial"/>
                <w:color w:val="000000" w:themeColor="text1"/>
                <w:szCs w:val="20"/>
                <w:lang w:val="en-GB"/>
              </w:rPr>
            </w:pPr>
          </w:p>
        </w:tc>
      </w:tr>
      <w:tr w:rsidR="00A0544E" w:rsidRPr="00320FE7" w14:paraId="7D0F1715" w14:textId="77777777" w:rsidTr="00C5270A">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449E8AEA"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 xml:space="preserve">Position </w:t>
            </w:r>
          </w:p>
        </w:tc>
        <w:tc>
          <w:tcPr>
            <w:tcW w:w="3474" w:type="pct"/>
            <w:tcBorders>
              <w:top w:val="single" w:sz="4" w:space="0" w:color="auto"/>
              <w:left w:val="single" w:sz="4" w:space="0" w:color="auto"/>
              <w:bottom w:val="single" w:sz="4" w:space="0" w:color="auto"/>
              <w:right w:val="single" w:sz="4" w:space="0" w:color="auto"/>
            </w:tcBorders>
            <w:vAlign w:val="center"/>
          </w:tcPr>
          <w:p w14:paraId="11441CBC" w14:textId="77777777" w:rsidR="00A0544E" w:rsidRPr="00320FE7" w:rsidRDefault="00A0544E" w:rsidP="00C5270A">
            <w:pPr>
              <w:rPr>
                <w:rFonts w:cs="Arial"/>
                <w:color w:val="000000" w:themeColor="text1"/>
                <w:szCs w:val="20"/>
                <w:lang w:val="en-GB"/>
              </w:rPr>
            </w:pPr>
          </w:p>
        </w:tc>
      </w:tr>
      <w:tr w:rsidR="00A0544E" w:rsidRPr="00320FE7" w14:paraId="54986EE6" w14:textId="77777777" w:rsidTr="00C5270A">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6F58913" w14:textId="77777777" w:rsidR="00A0544E" w:rsidRPr="00320FE7" w:rsidRDefault="00A0544E" w:rsidP="00C5270A">
            <w:pPr>
              <w:rPr>
                <w:rFonts w:cs="Arial"/>
                <w:color w:val="000000" w:themeColor="text1"/>
                <w:szCs w:val="20"/>
                <w:lang w:val="en-GB"/>
              </w:rPr>
            </w:pPr>
            <w:r w:rsidRPr="00320FE7">
              <w:rPr>
                <w:rFonts w:cs="Arial"/>
                <w:color w:val="000000" w:themeColor="text1"/>
                <w:szCs w:val="20"/>
                <w:lang w:val="en-GB"/>
              </w:rPr>
              <w:t>Ad</w:t>
            </w:r>
            <w:r>
              <w:rPr>
                <w:rFonts w:cs="Arial"/>
                <w:color w:val="000000" w:themeColor="text1"/>
                <w:szCs w:val="20"/>
                <w:lang w:val="en-GB"/>
              </w:rPr>
              <w:t>d</w:t>
            </w:r>
            <w:r w:rsidRPr="00320FE7">
              <w:rPr>
                <w:rFonts w:cs="Arial"/>
                <w:color w:val="000000" w:themeColor="text1"/>
                <w:szCs w:val="20"/>
                <w:lang w:val="en-GB"/>
              </w:rPr>
              <w:t>res</w:t>
            </w:r>
            <w:r>
              <w:rPr>
                <w:rFonts w:cs="Arial"/>
                <w:color w:val="000000" w:themeColor="text1"/>
                <w:szCs w:val="20"/>
                <w:lang w:val="en-GB"/>
              </w:rPr>
              <w:t>s</w:t>
            </w:r>
          </w:p>
        </w:tc>
      </w:tr>
      <w:tr w:rsidR="00A0544E" w:rsidRPr="00320FE7" w14:paraId="2F210A76" w14:textId="77777777" w:rsidTr="00C5270A">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76E354F4" w14:textId="77777777" w:rsidR="00A0544E" w:rsidRPr="00320FE7" w:rsidDel="00527D35" w:rsidRDefault="00A0544E" w:rsidP="00C5270A">
            <w:pPr>
              <w:rPr>
                <w:rFonts w:cs="Arial"/>
                <w:color w:val="000000" w:themeColor="text1"/>
                <w:szCs w:val="20"/>
                <w:lang w:val="en-GB"/>
              </w:rPr>
            </w:pPr>
            <w:r w:rsidRPr="00320FE7">
              <w:rPr>
                <w:rFonts w:cs="Arial"/>
                <w:color w:val="000000" w:themeColor="text1"/>
                <w:szCs w:val="20"/>
                <w:lang w:val="en-GB"/>
              </w:rPr>
              <w:t>Na</w:t>
            </w:r>
            <w:r>
              <w:rPr>
                <w:rFonts w:cs="Arial"/>
                <w:color w:val="000000" w:themeColor="text1"/>
                <w:szCs w:val="20"/>
                <w:lang w:val="en-GB"/>
              </w:rPr>
              <w:t xml:space="preserve">me of street </w:t>
            </w:r>
          </w:p>
        </w:tc>
        <w:tc>
          <w:tcPr>
            <w:tcW w:w="3474" w:type="pct"/>
            <w:tcBorders>
              <w:top w:val="single" w:sz="4" w:space="0" w:color="auto"/>
              <w:left w:val="single" w:sz="4" w:space="0" w:color="auto"/>
              <w:bottom w:val="single" w:sz="4" w:space="0" w:color="auto"/>
              <w:right w:val="single" w:sz="4" w:space="0" w:color="auto"/>
            </w:tcBorders>
            <w:vAlign w:val="center"/>
          </w:tcPr>
          <w:p w14:paraId="0A3F07F5" w14:textId="77777777" w:rsidR="00A0544E" w:rsidRPr="00320FE7" w:rsidRDefault="00A0544E" w:rsidP="00C5270A">
            <w:pPr>
              <w:rPr>
                <w:rFonts w:cs="Arial"/>
                <w:color w:val="000000" w:themeColor="text1"/>
                <w:szCs w:val="20"/>
                <w:lang w:val="en-GB"/>
              </w:rPr>
            </w:pPr>
          </w:p>
        </w:tc>
      </w:tr>
      <w:tr w:rsidR="00A0544E" w:rsidRPr="00320FE7" w14:paraId="3572D7C7" w14:textId="77777777" w:rsidTr="00C5270A">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219B1D25"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 xml:space="preserve">City </w:t>
            </w:r>
          </w:p>
        </w:tc>
        <w:tc>
          <w:tcPr>
            <w:tcW w:w="3474" w:type="pct"/>
            <w:tcBorders>
              <w:top w:val="single" w:sz="4" w:space="0" w:color="auto"/>
              <w:left w:val="single" w:sz="4" w:space="0" w:color="auto"/>
              <w:bottom w:val="single" w:sz="4" w:space="0" w:color="auto"/>
              <w:right w:val="single" w:sz="4" w:space="0" w:color="auto"/>
            </w:tcBorders>
            <w:vAlign w:val="center"/>
          </w:tcPr>
          <w:p w14:paraId="56B9EAD5" w14:textId="77777777" w:rsidR="00A0544E" w:rsidRPr="00320FE7" w:rsidRDefault="00A0544E" w:rsidP="00C5270A">
            <w:pPr>
              <w:rPr>
                <w:rFonts w:cs="Arial"/>
                <w:color w:val="000000" w:themeColor="text1"/>
                <w:szCs w:val="20"/>
                <w:lang w:val="en-GB"/>
              </w:rPr>
            </w:pPr>
          </w:p>
        </w:tc>
      </w:tr>
      <w:tr w:rsidR="00A0544E" w:rsidRPr="00320FE7" w14:paraId="39181C82" w14:textId="77777777" w:rsidTr="00C5270A">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11CCC470" w14:textId="77777777" w:rsidR="00A0544E" w:rsidRPr="00320FE7" w:rsidRDefault="00A0544E" w:rsidP="00C5270A">
            <w:pPr>
              <w:rPr>
                <w:rFonts w:cs="Arial"/>
                <w:color w:val="000000" w:themeColor="text1"/>
                <w:szCs w:val="20"/>
                <w:lang w:val="en-GB"/>
              </w:rPr>
            </w:pPr>
            <w:r w:rsidRPr="00320FE7">
              <w:rPr>
                <w:rFonts w:cs="Arial"/>
                <w:color w:val="000000" w:themeColor="text1"/>
                <w:szCs w:val="20"/>
                <w:lang w:val="en-GB"/>
              </w:rPr>
              <w:t>Po</w:t>
            </w:r>
            <w:r>
              <w:rPr>
                <w:rFonts w:cs="Arial"/>
                <w:color w:val="000000" w:themeColor="text1"/>
                <w:szCs w:val="20"/>
                <w:lang w:val="en-GB"/>
              </w:rPr>
              <w:t xml:space="preserve">stal number </w:t>
            </w:r>
          </w:p>
        </w:tc>
        <w:tc>
          <w:tcPr>
            <w:tcW w:w="3474" w:type="pct"/>
            <w:tcBorders>
              <w:top w:val="single" w:sz="4" w:space="0" w:color="auto"/>
              <w:left w:val="single" w:sz="4" w:space="0" w:color="auto"/>
              <w:bottom w:val="single" w:sz="4" w:space="0" w:color="auto"/>
              <w:right w:val="single" w:sz="4" w:space="0" w:color="auto"/>
            </w:tcBorders>
            <w:vAlign w:val="center"/>
          </w:tcPr>
          <w:p w14:paraId="7798B9AD" w14:textId="77777777" w:rsidR="00A0544E" w:rsidRPr="00320FE7" w:rsidRDefault="00A0544E" w:rsidP="00C5270A">
            <w:pPr>
              <w:rPr>
                <w:rFonts w:cs="Arial"/>
                <w:color w:val="000000" w:themeColor="text1"/>
                <w:szCs w:val="20"/>
                <w:lang w:val="en-GB"/>
              </w:rPr>
            </w:pPr>
          </w:p>
        </w:tc>
      </w:tr>
      <w:tr w:rsidR="00A0544E" w:rsidRPr="00320FE7" w14:paraId="752E48BD" w14:textId="77777777" w:rsidTr="00C5270A">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D0A680A"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Country</w:t>
            </w:r>
          </w:p>
        </w:tc>
        <w:tc>
          <w:tcPr>
            <w:tcW w:w="3474" w:type="pct"/>
            <w:tcBorders>
              <w:top w:val="single" w:sz="4" w:space="0" w:color="auto"/>
              <w:left w:val="single" w:sz="4" w:space="0" w:color="auto"/>
              <w:bottom w:val="single" w:sz="4" w:space="0" w:color="auto"/>
              <w:right w:val="single" w:sz="4" w:space="0" w:color="auto"/>
            </w:tcBorders>
            <w:vAlign w:val="center"/>
          </w:tcPr>
          <w:p w14:paraId="4346260B" w14:textId="77777777" w:rsidR="00A0544E" w:rsidRPr="00320FE7" w:rsidRDefault="00A0544E" w:rsidP="00C5270A">
            <w:pPr>
              <w:rPr>
                <w:rFonts w:cs="Arial"/>
                <w:i/>
                <w:color w:val="000000" w:themeColor="text1"/>
                <w:szCs w:val="20"/>
                <w:lang w:val="en-GB"/>
              </w:rPr>
            </w:pPr>
          </w:p>
        </w:tc>
      </w:tr>
      <w:tr w:rsidR="00A0544E" w:rsidRPr="00320FE7" w14:paraId="1C0662BC" w14:textId="77777777" w:rsidTr="00C5270A">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0BA96536" w14:textId="77777777" w:rsidR="00A0544E" w:rsidRPr="00320FE7" w:rsidRDefault="00A0544E" w:rsidP="00C5270A">
            <w:pPr>
              <w:rPr>
                <w:rFonts w:cs="Arial"/>
                <w:color w:val="000000" w:themeColor="text1"/>
                <w:szCs w:val="20"/>
                <w:lang w:val="en-GB"/>
              </w:rPr>
            </w:pPr>
            <w:r>
              <w:rPr>
                <w:rFonts w:cs="Arial"/>
                <w:color w:val="000000" w:themeColor="text1"/>
                <w:szCs w:val="20"/>
                <w:lang w:val="en-GB"/>
              </w:rPr>
              <w:t xml:space="preserve">Phone </w:t>
            </w:r>
          </w:p>
        </w:tc>
        <w:tc>
          <w:tcPr>
            <w:tcW w:w="3474" w:type="pct"/>
            <w:tcBorders>
              <w:top w:val="single" w:sz="4" w:space="0" w:color="auto"/>
              <w:left w:val="single" w:sz="4" w:space="0" w:color="auto"/>
              <w:bottom w:val="single" w:sz="4" w:space="0" w:color="auto"/>
              <w:right w:val="single" w:sz="4" w:space="0" w:color="auto"/>
            </w:tcBorders>
            <w:vAlign w:val="center"/>
          </w:tcPr>
          <w:p w14:paraId="7C9C877B" w14:textId="77777777" w:rsidR="00A0544E" w:rsidRPr="00320FE7" w:rsidRDefault="00A0544E" w:rsidP="00C5270A">
            <w:pPr>
              <w:rPr>
                <w:rFonts w:cs="Arial"/>
                <w:color w:val="000000" w:themeColor="text1"/>
                <w:szCs w:val="20"/>
                <w:lang w:val="en-GB"/>
              </w:rPr>
            </w:pPr>
          </w:p>
        </w:tc>
      </w:tr>
      <w:tr w:rsidR="00A0544E" w:rsidRPr="00320FE7" w14:paraId="6D0FFA28" w14:textId="77777777" w:rsidTr="00C5270A">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3C069340" w14:textId="77777777" w:rsidR="00A0544E" w:rsidRPr="00320FE7" w:rsidRDefault="00A0544E" w:rsidP="00C5270A">
            <w:pPr>
              <w:rPr>
                <w:rFonts w:cs="Arial"/>
                <w:color w:val="000000" w:themeColor="text1"/>
                <w:szCs w:val="20"/>
                <w:lang w:val="en-GB"/>
              </w:rPr>
            </w:pPr>
            <w:r w:rsidRPr="00320FE7">
              <w:rPr>
                <w:rFonts w:cs="Arial"/>
                <w:color w:val="000000" w:themeColor="text1"/>
                <w:szCs w:val="20"/>
                <w:lang w:val="en-GB"/>
              </w:rPr>
              <w:t xml:space="preserve">Email </w:t>
            </w:r>
          </w:p>
        </w:tc>
        <w:tc>
          <w:tcPr>
            <w:tcW w:w="3474" w:type="pct"/>
            <w:tcBorders>
              <w:top w:val="single" w:sz="4" w:space="0" w:color="auto"/>
              <w:left w:val="single" w:sz="4" w:space="0" w:color="auto"/>
              <w:bottom w:val="single" w:sz="4" w:space="0" w:color="auto"/>
              <w:right w:val="single" w:sz="4" w:space="0" w:color="auto"/>
            </w:tcBorders>
            <w:vAlign w:val="center"/>
          </w:tcPr>
          <w:p w14:paraId="634BC6A1" w14:textId="77777777" w:rsidR="00A0544E" w:rsidRPr="00320FE7" w:rsidRDefault="00A0544E" w:rsidP="00C5270A">
            <w:pPr>
              <w:rPr>
                <w:rFonts w:cs="Arial"/>
                <w:color w:val="000000" w:themeColor="text1"/>
                <w:szCs w:val="20"/>
                <w:lang w:val="en-GB"/>
              </w:rPr>
            </w:pPr>
          </w:p>
        </w:tc>
      </w:tr>
    </w:tbl>
    <w:p w14:paraId="18FCD169" w14:textId="77777777" w:rsidR="00A0544E" w:rsidRPr="00320FE7" w:rsidRDefault="00A0544E" w:rsidP="00A0544E">
      <w:pPr>
        <w:rPr>
          <w:rFonts w:cs="Arial"/>
          <w:color w:val="000000" w:themeColor="text1"/>
          <w:szCs w:val="20"/>
          <w:lang w:val="en-GB"/>
        </w:rPr>
      </w:pPr>
    </w:p>
    <w:p w14:paraId="35FA6CCE" w14:textId="77777777" w:rsidR="00A0544E" w:rsidRPr="00320FE7" w:rsidRDefault="00A0544E" w:rsidP="00A0544E">
      <w:pPr>
        <w:rPr>
          <w:rFonts w:cs="Arial"/>
          <w:color w:val="000000" w:themeColor="text1"/>
          <w:szCs w:val="20"/>
          <w:lang w:val="en-GB"/>
        </w:rPr>
      </w:pPr>
    </w:p>
    <w:p w14:paraId="632CF57F" w14:textId="77777777" w:rsidR="00A0544E" w:rsidRPr="00320FE7" w:rsidRDefault="00A0544E" w:rsidP="00A0544E">
      <w:pPr>
        <w:spacing w:after="120" w:line="276" w:lineRule="auto"/>
        <w:rPr>
          <w:rFonts w:cs="Arial"/>
          <w:lang w:val="en-GB"/>
        </w:rPr>
      </w:pPr>
    </w:p>
    <w:p w14:paraId="4ED30119" w14:textId="77777777" w:rsidR="00A0544E" w:rsidRPr="00320FE7" w:rsidRDefault="00A0544E" w:rsidP="00A0544E">
      <w:pPr>
        <w:spacing w:after="120" w:line="276" w:lineRule="auto"/>
        <w:rPr>
          <w:rFonts w:cs="Arial"/>
          <w:lang w:val="en-GB"/>
        </w:rPr>
      </w:pPr>
    </w:p>
    <w:p w14:paraId="0FDDEE82" w14:textId="77777777" w:rsidR="00A0544E" w:rsidRPr="00320FE7" w:rsidRDefault="00A0544E" w:rsidP="00A0544E">
      <w:pPr>
        <w:spacing w:line="276" w:lineRule="auto"/>
        <w:jc w:val="center"/>
        <w:rPr>
          <w:rFonts w:cs="Arial"/>
          <w:b/>
          <w:bCs/>
          <w:szCs w:val="20"/>
          <w:lang w:val="en-GB"/>
        </w:rPr>
      </w:pPr>
    </w:p>
    <w:p w14:paraId="50139D35" w14:textId="77777777" w:rsidR="00A0544E" w:rsidRPr="00320FE7" w:rsidRDefault="00A0544E" w:rsidP="00A0544E">
      <w:pPr>
        <w:spacing w:line="276" w:lineRule="auto"/>
        <w:jc w:val="center"/>
        <w:rPr>
          <w:rFonts w:cs="Arial"/>
          <w:b/>
          <w:bCs/>
          <w:szCs w:val="20"/>
          <w:lang w:val="en-GB"/>
        </w:rPr>
      </w:pPr>
    </w:p>
    <w:p w14:paraId="1B82EBFF" w14:textId="77777777" w:rsidR="00A0544E" w:rsidRPr="00320FE7" w:rsidRDefault="00A0544E" w:rsidP="00034981">
      <w:pPr>
        <w:pStyle w:val="Heading2"/>
        <w:jc w:val="center"/>
        <w:rPr>
          <w:lang w:val="en-GB"/>
        </w:rPr>
      </w:pPr>
      <w:bookmarkStart w:id="19" w:name="_Ref184817515"/>
      <w:bookmarkStart w:id="20" w:name="_Toc193374167"/>
      <w:bookmarkStart w:id="21" w:name="_Toc230164076"/>
      <w:r w:rsidRPr="00E945D2">
        <w:rPr>
          <w:lang w:val="en-GB"/>
        </w:rPr>
        <w:lastRenderedPageBreak/>
        <w:t>DISCLAIMER AND ACCEPTANCE OF TERMS AND CONDITIONS</w:t>
      </w:r>
      <w:bookmarkEnd w:id="19"/>
      <w:bookmarkEnd w:id="20"/>
      <w:bookmarkEnd w:id="21"/>
    </w:p>
    <w:p w14:paraId="08A46524" w14:textId="77777777" w:rsidR="00A0544E" w:rsidRPr="00320FE7" w:rsidRDefault="00A0544E" w:rsidP="00A0544E">
      <w:pPr>
        <w:rPr>
          <w:lang w:val="en-GB"/>
        </w:rPr>
      </w:pPr>
    </w:p>
    <w:p w14:paraId="25C8BED7" w14:textId="77777777" w:rsidR="00A0544E" w:rsidRPr="00445599" w:rsidRDefault="00A0544E" w:rsidP="00A0544E">
      <w:pPr>
        <w:tabs>
          <w:tab w:val="left" w:pos="851"/>
        </w:tabs>
        <w:spacing w:after="120" w:line="276" w:lineRule="auto"/>
        <w:jc w:val="both"/>
        <w:rPr>
          <w:rFonts w:cs="Arial"/>
          <w:szCs w:val="20"/>
          <w:lang w:val="en-GB"/>
        </w:rPr>
      </w:pPr>
      <w:r w:rsidRPr="00320FE7">
        <w:rPr>
          <w:rFonts w:cs="Arial"/>
          <w:szCs w:val="20"/>
          <w:lang w:val="en-GB"/>
        </w:rPr>
        <w:t xml:space="preserve">HBOR </w:t>
      </w:r>
      <w:r w:rsidRPr="00445599">
        <w:rPr>
          <w:rFonts w:cs="Arial"/>
          <w:szCs w:val="20"/>
          <w:lang w:val="en-GB"/>
        </w:rPr>
        <w:t>does not assume any responsibility for the</w:t>
      </w:r>
      <w:r w:rsidRPr="002459F2">
        <w:rPr>
          <w:rFonts w:cs="Arial"/>
          <w:szCs w:val="20"/>
          <w:lang w:val="en-GB"/>
        </w:rPr>
        <w:t xml:space="preserve"> correctness and completeness</w:t>
      </w:r>
      <w:r w:rsidRPr="00445599">
        <w:rPr>
          <w:rFonts w:cs="Arial"/>
          <w:szCs w:val="20"/>
          <w:lang w:val="en-GB"/>
        </w:rPr>
        <w:t xml:space="preserve"> of the </w:t>
      </w:r>
      <w:r>
        <w:rPr>
          <w:rFonts w:cs="Arial"/>
          <w:szCs w:val="20"/>
          <w:lang w:val="en-GB"/>
        </w:rPr>
        <w:t xml:space="preserve">data </w:t>
      </w:r>
      <w:r w:rsidRPr="00445599">
        <w:rPr>
          <w:rFonts w:cs="Arial"/>
          <w:szCs w:val="20"/>
          <w:lang w:val="en-GB"/>
        </w:rPr>
        <w:t xml:space="preserve">requested or stated in the application form </w:t>
      </w:r>
      <w:r>
        <w:rPr>
          <w:rFonts w:cs="Arial"/>
          <w:szCs w:val="20"/>
          <w:lang w:val="en-GB"/>
        </w:rPr>
        <w:t>completed</w:t>
      </w:r>
      <w:r w:rsidRPr="00445599">
        <w:rPr>
          <w:rFonts w:cs="Arial"/>
          <w:szCs w:val="20"/>
          <w:lang w:val="en-GB"/>
        </w:rPr>
        <w:t xml:space="preserve"> and submitted by the Applicant. </w:t>
      </w:r>
    </w:p>
    <w:p w14:paraId="214E10C1" w14:textId="77777777" w:rsidR="00A0544E" w:rsidRPr="00445599" w:rsidRDefault="00A0544E" w:rsidP="00A0544E">
      <w:pPr>
        <w:tabs>
          <w:tab w:val="left" w:pos="851"/>
        </w:tabs>
        <w:spacing w:after="120" w:line="276" w:lineRule="auto"/>
        <w:jc w:val="both"/>
        <w:rPr>
          <w:rFonts w:cs="Arial"/>
          <w:szCs w:val="20"/>
          <w:lang w:val="en-GB"/>
        </w:rPr>
      </w:pPr>
      <w:r w:rsidRPr="00445599">
        <w:rPr>
          <w:rFonts w:cs="Arial"/>
          <w:szCs w:val="20"/>
          <w:lang w:val="en-GB"/>
        </w:rPr>
        <w:t xml:space="preserve">The Applicant confirms and agrees that </w:t>
      </w:r>
      <w:r>
        <w:rPr>
          <w:rFonts w:cs="Arial"/>
          <w:szCs w:val="20"/>
          <w:lang w:val="en-GB"/>
        </w:rPr>
        <w:t xml:space="preserve">the completion of </w:t>
      </w:r>
      <w:r w:rsidRPr="00445599">
        <w:rPr>
          <w:rFonts w:cs="Arial"/>
          <w:szCs w:val="20"/>
          <w:lang w:val="en-GB"/>
        </w:rPr>
        <w:t>the application form</w:t>
      </w:r>
      <w:r>
        <w:rPr>
          <w:rFonts w:cs="Arial"/>
          <w:szCs w:val="20"/>
          <w:lang w:val="en-GB"/>
        </w:rPr>
        <w:t xml:space="preserve"> and </w:t>
      </w:r>
      <w:r w:rsidRPr="00445599">
        <w:rPr>
          <w:rFonts w:cs="Arial"/>
          <w:szCs w:val="20"/>
          <w:lang w:val="en-GB"/>
        </w:rPr>
        <w:t xml:space="preserve">any other procedures, actions and other </w:t>
      </w:r>
      <w:r>
        <w:rPr>
          <w:rFonts w:cs="Arial"/>
          <w:szCs w:val="20"/>
          <w:lang w:val="en-GB"/>
        </w:rPr>
        <w:t xml:space="preserve">issues </w:t>
      </w:r>
      <w:r w:rsidRPr="00445599">
        <w:rPr>
          <w:rFonts w:cs="Arial"/>
          <w:szCs w:val="20"/>
          <w:lang w:val="en-GB"/>
        </w:rPr>
        <w:t>related to the selection procedure in no way impl</w:t>
      </w:r>
      <w:r>
        <w:rPr>
          <w:rFonts w:cs="Arial"/>
          <w:szCs w:val="20"/>
          <w:lang w:val="en-GB"/>
        </w:rPr>
        <w:t>y</w:t>
      </w:r>
      <w:r w:rsidRPr="00445599">
        <w:rPr>
          <w:rFonts w:cs="Arial"/>
          <w:szCs w:val="20"/>
          <w:lang w:val="en-GB"/>
        </w:rPr>
        <w:t xml:space="preserve"> HBOR's obligation to conclude a business relationship with the Applicant. </w:t>
      </w:r>
    </w:p>
    <w:p w14:paraId="4AE57D00" w14:textId="77777777" w:rsidR="00A0544E" w:rsidRPr="00445599" w:rsidRDefault="00A0544E" w:rsidP="00A0544E">
      <w:pPr>
        <w:tabs>
          <w:tab w:val="left" w:pos="851"/>
        </w:tabs>
        <w:spacing w:after="120" w:line="276" w:lineRule="auto"/>
        <w:jc w:val="both"/>
        <w:rPr>
          <w:rFonts w:cs="Arial"/>
          <w:szCs w:val="20"/>
          <w:lang w:val="en-GB"/>
        </w:rPr>
      </w:pPr>
      <w:r w:rsidRPr="00445599">
        <w:rPr>
          <w:rFonts w:cs="Arial"/>
          <w:szCs w:val="20"/>
          <w:lang w:val="en-GB"/>
        </w:rPr>
        <w:t xml:space="preserve">The Applicant declares and agrees that it will bear all costs of submitting the application, its </w:t>
      </w:r>
      <w:r>
        <w:rPr>
          <w:rFonts w:cs="Arial"/>
          <w:szCs w:val="20"/>
          <w:lang w:val="en-GB"/>
        </w:rPr>
        <w:t>delivery</w:t>
      </w:r>
      <w:r w:rsidRPr="00445599">
        <w:rPr>
          <w:rFonts w:cs="Arial"/>
          <w:szCs w:val="20"/>
          <w:lang w:val="en-GB"/>
        </w:rPr>
        <w:t xml:space="preserve">, collection and submission of </w:t>
      </w:r>
      <w:r>
        <w:rPr>
          <w:rFonts w:cs="Arial"/>
          <w:szCs w:val="20"/>
          <w:lang w:val="en-GB"/>
        </w:rPr>
        <w:t>data</w:t>
      </w:r>
      <w:r w:rsidRPr="00445599">
        <w:rPr>
          <w:rFonts w:cs="Arial"/>
          <w:szCs w:val="20"/>
          <w:lang w:val="en-GB"/>
        </w:rPr>
        <w:t xml:space="preserve"> and documents. </w:t>
      </w:r>
    </w:p>
    <w:p w14:paraId="60F94E60" w14:textId="77777777" w:rsidR="00A0544E" w:rsidRPr="00445599" w:rsidRDefault="00A0544E" w:rsidP="00A0544E">
      <w:pPr>
        <w:tabs>
          <w:tab w:val="left" w:pos="851"/>
        </w:tabs>
        <w:spacing w:after="120" w:line="276" w:lineRule="auto"/>
        <w:jc w:val="both"/>
        <w:rPr>
          <w:rFonts w:cs="Arial"/>
          <w:szCs w:val="20"/>
          <w:lang w:val="en-GB"/>
        </w:rPr>
      </w:pPr>
      <w:r w:rsidRPr="00445599">
        <w:rPr>
          <w:rFonts w:cs="Arial"/>
          <w:szCs w:val="20"/>
          <w:lang w:val="en-GB"/>
        </w:rPr>
        <w:t>The Applicant ac</w:t>
      </w:r>
      <w:r>
        <w:rPr>
          <w:rFonts w:cs="Arial"/>
          <w:szCs w:val="20"/>
          <w:lang w:val="en-GB"/>
        </w:rPr>
        <w:t xml:space="preserve">knowledges </w:t>
      </w:r>
      <w:r w:rsidRPr="00445599">
        <w:rPr>
          <w:rFonts w:cs="Arial"/>
          <w:szCs w:val="20"/>
          <w:lang w:val="en-GB"/>
        </w:rPr>
        <w:t xml:space="preserve">that HBOR is in no way obliged to reimburse the Applicant or anyone else for costs related to </w:t>
      </w:r>
      <w:r>
        <w:rPr>
          <w:rFonts w:cs="Arial"/>
          <w:szCs w:val="20"/>
          <w:lang w:val="en-GB"/>
        </w:rPr>
        <w:t xml:space="preserve">the </w:t>
      </w:r>
      <w:r w:rsidRPr="00445599">
        <w:rPr>
          <w:rFonts w:cs="Arial"/>
          <w:szCs w:val="20"/>
          <w:lang w:val="en-GB"/>
        </w:rPr>
        <w:t>submi</w:t>
      </w:r>
      <w:r>
        <w:rPr>
          <w:rFonts w:cs="Arial"/>
          <w:szCs w:val="20"/>
          <w:lang w:val="en-GB"/>
        </w:rPr>
        <w:t xml:space="preserve">ssion of </w:t>
      </w:r>
      <w:r w:rsidRPr="00445599">
        <w:rPr>
          <w:rFonts w:cs="Arial"/>
          <w:szCs w:val="20"/>
          <w:lang w:val="en-GB"/>
        </w:rPr>
        <w:t xml:space="preserve">the application. </w:t>
      </w:r>
    </w:p>
    <w:p w14:paraId="5740AFDC" w14:textId="77777777" w:rsidR="00A0544E" w:rsidRPr="00320FE7" w:rsidRDefault="00A0544E" w:rsidP="00A0544E">
      <w:pPr>
        <w:tabs>
          <w:tab w:val="left" w:pos="851"/>
        </w:tabs>
        <w:spacing w:after="120" w:line="276" w:lineRule="auto"/>
        <w:jc w:val="both"/>
        <w:rPr>
          <w:rFonts w:cs="Arial"/>
          <w:szCs w:val="20"/>
          <w:lang w:val="en-GB"/>
        </w:rPr>
      </w:pPr>
      <w:r w:rsidRPr="00445599">
        <w:rPr>
          <w:rFonts w:cs="Arial"/>
          <w:szCs w:val="20"/>
          <w:lang w:val="en-GB"/>
        </w:rPr>
        <w:t xml:space="preserve">The Applicant declares and guarantees that all data provided in the application form are true, </w:t>
      </w:r>
      <w:r>
        <w:rPr>
          <w:rFonts w:cs="Arial"/>
          <w:szCs w:val="20"/>
          <w:lang w:val="en-GB"/>
        </w:rPr>
        <w:t xml:space="preserve">correct </w:t>
      </w:r>
      <w:r w:rsidRPr="00445599">
        <w:rPr>
          <w:rFonts w:cs="Arial"/>
          <w:szCs w:val="20"/>
          <w:lang w:val="en-GB"/>
        </w:rPr>
        <w:t>and complete</w:t>
      </w:r>
      <w:r w:rsidRPr="00320FE7">
        <w:rPr>
          <w:rFonts w:cs="Arial"/>
          <w:szCs w:val="20"/>
          <w:lang w:val="en-GB"/>
        </w:rPr>
        <w:t xml:space="preserve">.  </w:t>
      </w:r>
    </w:p>
    <w:p w14:paraId="67A775D8" w14:textId="77777777" w:rsidR="00A0544E" w:rsidRPr="00320FE7" w:rsidRDefault="00A0544E" w:rsidP="00A0544E">
      <w:pPr>
        <w:tabs>
          <w:tab w:val="left" w:pos="851"/>
        </w:tabs>
        <w:spacing w:line="276" w:lineRule="auto"/>
        <w:jc w:val="both"/>
        <w:rPr>
          <w:rFonts w:cs="Arial"/>
          <w:szCs w:val="20"/>
          <w:lang w:val="en-GB"/>
        </w:rPr>
      </w:pPr>
    </w:p>
    <w:p w14:paraId="1E60C107" w14:textId="77777777" w:rsidR="00A0544E" w:rsidRPr="00320FE7" w:rsidRDefault="00A0544E" w:rsidP="00A0544E">
      <w:pPr>
        <w:tabs>
          <w:tab w:val="left" w:pos="851"/>
        </w:tabs>
        <w:spacing w:line="276" w:lineRule="auto"/>
        <w:jc w:val="both"/>
        <w:rPr>
          <w:rFonts w:cs="Arial"/>
          <w:szCs w:val="20"/>
          <w:lang w:val="en-GB"/>
        </w:rPr>
      </w:pPr>
    </w:p>
    <w:p w14:paraId="00D9F00E" w14:textId="77777777" w:rsidR="00A0544E" w:rsidRPr="00320FE7" w:rsidRDefault="00A0544E" w:rsidP="00A0544E">
      <w:pPr>
        <w:tabs>
          <w:tab w:val="left" w:pos="851"/>
        </w:tabs>
        <w:spacing w:line="276" w:lineRule="auto"/>
        <w:jc w:val="both"/>
        <w:rPr>
          <w:rFonts w:cs="Arial"/>
          <w:szCs w:val="20"/>
          <w:lang w:val="en-GB"/>
        </w:rPr>
      </w:pPr>
    </w:p>
    <w:p w14:paraId="43DAF9A4" w14:textId="77777777" w:rsidR="00A0544E" w:rsidRPr="00320FE7" w:rsidRDefault="00A0544E" w:rsidP="00A0544E">
      <w:pPr>
        <w:tabs>
          <w:tab w:val="left" w:pos="851"/>
        </w:tabs>
        <w:spacing w:line="276" w:lineRule="auto"/>
        <w:jc w:val="both"/>
        <w:rPr>
          <w:rFonts w:cs="Arial"/>
          <w:szCs w:val="20"/>
          <w:lang w:val="en-GB"/>
        </w:rPr>
      </w:pPr>
    </w:p>
    <w:p w14:paraId="42A7D708" w14:textId="77777777" w:rsidR="00A0544E" w:rsidRPr="00320FE7" w:rsidRDefault="00A0544E" w:rsidP="00034981">
      <w:pPr>
        <w:pStyle w:val="Heading2"/>
        <w:jc w:val="center"/>
        <w:rPr>
          <w:lang w:val="en-GB"/>
        </w:rPr>
      </w:pPr>
      <w:bookmarkStart w:id="22" w:name="_Ref184817661"/>
      <w:bookmarkStart w:id="23" w:name="_Toc193374168"/>
      <w:bookmarkStart w:id="24" w:name="_Toc230164077"/>
      <w:r w:rsidRPr="00320FE7">
        <w:rPr>
          <w:lang w:val="en-GB"/>
        </w:rPr>
        <w:t>HBOR</w:t>
      </w:r>
      <w:r>
        <w:rPr>
          <w:lang w:val="en-GB"/>
        </w:rPr>
        <w:t>’s</w:t>
      </w:r>
      <w:r w:rsidRPr="00320FE7">
        <w:rPr>
          <w:lang w:val="en-GB"/>
        </w:rPr>
        <w:t xml:space="preserve"> </w:t>
      </w:r>
      <w:r w:rsidRPr="00E945D2">
        <w:rPr>
          <w:lang w:val="en-GB"/>
        </w:rPr>
        <w:t>PERSONAL DATA CONFIDENTIALITY STATEMENT</w:t>
      </w:r>
      <w:bookmarkEnd w:id="22"/>
      <w:bookmarkEnd w:id="23"/>
      <w:bookmarkEnd w:id="24"/>
    </w:p>
    <w:p w14:paraId="3BF113AA" w14:textId="77777777" w:rsidR="00A0544E" w:rsidRPr="00320FE7" w:rsidRDefault="00A0544E" w:rsidP="00A0544E">
      <w:pPr>
        <w:rPr>
          <w:lang w:val="en-GB"/>
        </w:rPr>
      </w:pPr>
    </w:p>
    <w:p w14:paraId="2A8C3EB8" w14:textId="77777777" w:rsidR="00A0544E" w:rsidRPr="00C359A6" w:rsidRDefault="00A0544E" w:rsidP="00A0544E">
      <w:pPr>
        <w:tabs>
          <w:tab w:val="left" w:pos="851"/>
        </w:tabs>
        <w:spacing w:after="120" w:line="276" w:lineRule="auto"/>
        <w:jc w:val="both"/>
        <w:rPr>
          <w:rFonts w:cs="Arial"/>
          <w:szCs w:val="20"/>
          <w:lang w:val="en-GB"/>
        </w:rPr>
      </w:pPr>
      <w:r w:rsidRPr="00C359A6">
        <w:rPr>
          <w:rFonts w:cs="Arial"/>
          <w:szCs w:val="20"/>
          <w:lang w:val="en-GB"/>
        </w:rPr>
        <w:t>In accordance with the r</w:t>
      </w:r>
      <w:r>
        <w:rPr>
          <w:rFonts w:cs="Arial"/>
          <w:szCs w:val="20"/>
          <w:lang w:val="en-GB"/>
        </w:rPr>
        <w:t xml:space="preserve">ules </w:t>
      </w:r>
      <w:r w:rsidRPr="00C359A6">
        <w:rPr>
          <w:rFonts w:cs="Arial"/>
          <w:szCs w:val="20"/>
          <w:lang w:val="en-GB"/>
        </w:rPr>
        <w:t xml:space="preserve">governing the protection of personal data, namely </w:t>
      </w:r>
      <w:r w:rsidRPr="00294025">
        <w:rPr>
          <w:rFonts w:cs="Arial"/>
          <w:szCs w:val="20"/>
          <w:lang w:val="en-GB"/>
        </w:rPr>
        <w:t>R</w:t>
      </w:r>
      <w:r w:rsidRPr="006A20DA">
        <w:rPr>
          <w:rFonts w:cs="Arial"/>
          <w:szCs w:val="20"/>
          <w:lang w:val="en-GB"/>
        </w:rPr>
        <w:t>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rFonts w:cs="Arial"/>
          <w:szCs w:val="20"/>
          <w:lang w:val="en-GB"/>
        </w:rPr>
        <w:t xml:space="preserve">, </w:t>
      </w:r>
      <w:r w:rsidRPr="00C359A6">
        <w:rPr>
          <w:rFonts w:cs="Arial"/>
          <w:szCs w:val="20"/>
          <w:lang w:val="en-GB"/>
        </w:rPr>
        <w:t xml:space="preserve">the Act on the Implementation of the General Data Protection Regulation as well as all other </w:t>
      </w:r>
      <w:r>
        <w:rPr>
          <w:rFonts w:cs="Arial"/>
          <w:szCs w:val="20"/>
          <w:lang w:val="en-GB"/>
        </w:rPr>
        <w:t xml:space="preserve">primary and secondary </w:t>
      </w:r>
      <w:r w:rsidRPr="00C359A6">
        <w:rPr>
          <w:rFonts w:cs="Arial"/>
          <w:szCs w:val="20"/>
          <w:lang w:val="en-GB"/>
        </w:rPr>
        <w:t xml:space="preserve">legislation governing the protection of personal data, HBOR will maintain the confidentiality of all personal data entrusted to it for processing or </w:t>
      </w:r>
      <w:r>
        <w:rPr>
          <w:rFonts w:cs="Arial"/>
          <w:szCs w:val="20"/>
          <w:lang w:val="en-GB"/>
        </w:rPr>
        <w:t xml:space="preserve">that </w:t>
      </w:r>
      <w:r w:rsidRPr="00C359A6">
        <w:rPr>
          <w:rFonts w:cs="Arial"/>
          <w:szCs w:val="20"/>
          <w:lang w:val="en-GB"/>
        </w:rPr>
        <w:t xml:space="preserve">otherwise become known or accessible to it during the course of business relationship. </w:t>
      </w:r>
    </w:p>
    <w:p w14:paraId="614EEA24" w14:textId="77777777" w:rsidR="00A0544E" w:rsidRPr="00320FE7" w:rsidRDefault="00A0544E" w:rsidP="00A0544E">
      <w:pPr>
        <w:tabs>
          <w:tab w:val="left" w:pos="851"/>
        </w:tabs>
        <w:spacing w:after="120" w:line="276" w:lineRule="auto"/>
        <w:jc w:val="both"/>
        <w:rPr>
          <w:rFonts w:cs="Arial"/>
          <w:szCs w:val="20"/>
          <w:lang w:val="en-GB"/>
        </w:rPr>
      </w:pPr>
      <w:r w:rsidRPr="00C359A6">
        <w:rPr>
          <w:rFonts w:cs="Arial"/>
          <w:szCs w:val="20"/>
          <w:lang w:val="en-GB"/>
        </w:rPr>
        <w:t>HBOR processes personal data exclusively for the purpose of providing banking and other financial services</w:t>
      </w:r>
      <w:r>
        <w:rPr>
          <w:rFonts w:cs="Arial"/>
          <w:szCs w:val="20"/>
          <w:lang w:val="en-GB"/>
        </w:rPr>
        <w:t xml:space="preserve"> for</w:t>
      </w:r>
      <w:r w:rsidRPr="00C359A6">
        <w:rPr>
          <w:rFonts w:cs="Arial"/>
          <w:szCs w:val="20"/>
          <w:lang w:val="en-GB"/>
        </w:rPr>
        <w:t xml:space="preserve"> which it is authorised by applicable regulations. T</w:t>
      </w:r>
      <w:r w:rsidRPr="004A75D5">
        <w:rPr>
          <w:rFonts w:cs="Arial"/>
          <w:szCs w:val="20"/>
          <w:lang w:val="en-GB"/>
        </w:rPr>
        <w:t xml:space="preserve">he principles and rules of personal data processing </w:t>
      </w:r>
      <w:r w:rsidRPr="00E60BDC">
        <w:rPr>
          <w:rFonts w:cs="Arial"/>
          <w:szCs w:val="20"/>
          <w:lang w:val="en-GB"/>
        </w:rPr>
        <w:t>and the rights of data subjects</w:t>
      </w:r>
      <w:r>
        <w:rPr>
          <w:rFonts w:cs="Arial"/>
          <w:szCs w:val="20"/>
          <w:lang w:val="en-GB"/>
        </w:rPr>
        <w:t xml:space="preserve"> regarding the protection of personal data </w:t>
      </w:r>
      <w:r w:rsidRPr="004A75D5">
        <w:rPr>
          <w:rFonts w:cs="Arial"/>
          <w:szCs w:val="20"/>
          <w:lang w:val="en-GB"/>
        </w:rPr>
        <w:t>are regulated by the documents</w:t>
      </w:r>
      <w:r>
        <w:rPr>
          <w:rFonts w:cs="Arial"/>
          <w:szCs w:val="20"/>
          <w:lang w:val="en-GB"/>
        </w:rPr>
        <w:t>:</w:t>
      </w:r>
      <w:r w:rsidRPr="004A75D5">
        <w:rPr>
          <w:rFonts w:cs="Arial"/>
          <w:szCs w:val="20"/>
          <w:lang w:val="en-GB"/>
        </w:rPr>
        <w:t xml:space="preserve"> Privacy Policy and Information for Data Subjects, which are publicly available </w:t>
      </w:r>
      <w:r>
        <w:rPr>
          <w:rFonts w:cs="Arial"/>
          <w:szCs w:val="20"/>
          <w:lang w:val="en-GB"/>
        </w:rPr>
        <w:t xml:space="preserve">at HBOR’s </w:t>
      </w:r>
      <w:r w:rsidRPr="004A75D5">
        <w:rPr>
          <w:rFonts w:cs="Arial"/>
          <w:szCs w:val="20"/>
          <w:lang w:val="en-GB"/>
        </w:rPr>
        <w:t>website</w:t>
      </w:r>
      <w:r>
        <w:rPr>
          <w:rFonts w:cs="Arial"/>
          <w:szCs w:val="20"/>
          <w:lang w:val="en-GB"/>
        </w:rPr>
        <w:t xml:space="preserve"> address:</w:t>
      </w:r>
      <w:r w:rsidRPr="00320FE7">
        <w:rPr>
          <w:rFonts w:cs="Arial"/>
          <w:szCs w:val="20"/>
          <w:lang w:val="en-GB"/>
        </w:rPr>
        <w:t xml:space="preserve"> </w:t>
      </w:r>
      <w:hyperlink r:id="rId19" w:history="1">
        <w:r w:rsidRPr="00320FE7">
          <w:rPr>
            <w:rStyle w:val="Hyperlink"/>
            <w:rFonts w:cs="Arial"/>
            <w:szCs w:val="20"/>
            <w:lang w:val="en-GB"/>
          </w:rPr>
          <w:t>www.hbor.hr</w:t>
        </w:r>
      </w:hyperlink>
      <w:r w:rsidRPr="00320FE7">
        <w:rPr>
          <w:rFonts w:cs="Arial"/>
          <w:szCs w:val="20"/>
          <w:lang w:val="en-GB"/>
        </w:rPr>
        <w:t>.</w:t>
      </w:r>
    </w:p>
    <w:p w14:paraId="2B7943FE" w14:textId="77777777" w:rsidR="00A0544E" w:rsidRDefault="00A0544E" w:rsidP="00A0544E">
      <w:pPr>
        <w:spacing w:after="120" w:line="276" w:lineRule="auto"/>
        <w:rPr>
          <w:rFonts w:cs="Arial"/>
          <w:lang w:val="en-GB"/>
        </w:rPr>
      </w:pPr>
    </w:p>
    <w:p w14:paraId="663223BD" w14:textId="77777777" w:rsidR="00A0544E" w:rsidRPr="00320FE7" w:rsidRDefault="00A0544E" w:rsidP="00A0544E">
      <w:pPr>
        <w:spacing w:after="120" w:line="276" w:lineRule="auto"/>
        <w:rPr>
          <w:rFonts w:cs="Arial"/>
          <w:lang w:val="en-GB"/>
        </w:rPr>
      </w:pPr>
    </w:p>
    <w:p w14:paraId="2C91F9E7" w14:textId="77777777" w:rsidR="00A0544E" w:rsidRPr="00036015" w:rsidRDefault="00A0544E" w:rsidP="00A0544E">
      <w:pPr>
        <w:spacing w:after="120" w:line="276" w:lineRule="auto"/>
        <w:jc w:val="both"/>
        <w:rPr>
          <w:rFonts w:cs="Arial"/>
          <w:i/>
          <w:iCs/>
          <w:lang w:val="en-GB"/>
        </w:rPr>
      </w:pPr>
      <w:r>
        <w:rPr>
          <w:rFonts w:cs="Arial"/>
          <w:i/>
          <w:iCs/>
          <w:lang w:val="en-GB"/>
        </w:rPr>
        <w:t>This</w:t>
      </w:r>
      <w:r w:rsidRPr="001972C6">
        <w:rPr>
          <w:rFonts w:cs="Arial"/>
          <w:i/>
          <w:iCs/>
          <w:lang w:val="en-GB"/>
        </w:rPr>
        <w:t xml:space="preserve"> is an unofficial translation</w:t>
      </w:r>
      <w:r>
        <w:rPr>
          <w:rFonts w:cs="Arial"/>
          <w:i/>
          <w:iCs/>
          <w:lang w:val="en-GB"/>
        </w:rPr>
        <w:t xml:space="preserve"> of the original text in Croatian. </w:t>
      </w:r>
      <w:r w:rsidRPr="00036015">
        <w:rPr>
          <w:rFonts w:cs="Arial"/>
          <w:i/>
          <w:iCs/>
          <w:lang w:val="en-GB"/>
        </w:rPr>
        <w:t>In case of discrepancies, the Croatian version will prevail.</w:t>
      </w:r>
    </w:p>
    <w:p w14:paraId="772CF080" w14:textId="2A779959" w:rsidR="00A0544E" w:rsidRDefault="00A0544E">
      <w:pPr>
        <w:rPr>
          <w:rFonts w:cs="Arial"/>
          <w:lang w:val="en-GB"/>
        </w:rPr>
      </w:pPr>
      <w:r>
        <w:rPr>
          <w:rFonts w:cs="Arial"/>
          <w:lang w:val="en-GB"/>
        </w:rPr>
        <w:br w:type="page"/>
      </w:r>
    </w:p>
    <w:p w14:paraId="114AF17C" w14:textId="77777777" w:rsidR="00146EFC" w:rsidRPr="00146EFC" w:rsidRDefault="00146EFC" w:rsidP="000A50DD">
      <w:pPr>
        <w:pStyle w:val="Heading1"/>
        <w:spacing w:after="240"/>
        <w:rPr>
          <w:lang w:val="en-US"/>
        </w:rPr>
      </w:pPr>
      <w:bookmarkStart w:id="25" w:name="_Toc230164078"/>
      <w:r w:rsidRPr="000A50DD">
        <w:lastRenderedPageBreak/>
        <w:t>Schedule</w:t>
      </w:r>
      <w:r w:rsidRPr="00146EFC">
        <w:rPr>
          <w:lang w:val="en-US"/>
        </w:rPr>
        <w:t xml:space="preserve"> 2 Investment Opportunity Description</w:t>
      </w:r>
      <w:bookmarkEnd w:id="25"/>
      <w:r w:rsidRPr="00146EFC">
        <w:rPr>
          <w:lang w:val="en-US"/>
        </w:rPr>
        <w:t xml:space="preserve">  </w:t>
      </w:r>
    </w:p>
    <w:p w14:paraId="0510B0F0" w14:textId="738B4B13" w:rsidR="002B10A3" w:rsidRDefault="00146EFC" w:rsidP="00146EFC">
      <w:pPr>
        <w:spacing w:after="120" w:line="276" w:lineRule="auto"/>
        <w:jc w:val="both"/>
        <w:rPr>
          <w:rFonts w:eastAsiaTheme="majorEastAsia" w:cstheme="majorBidi"/>
          <w:bCs/>
          <w:szCs w:val="20"/>
          <w:lang w:val="en-US"/>
        </w:rPr>
      </w:pPr>
      <w:r w:rsidRPr="00146EFC">
        <w:rPr>
          <w:rFonts w:eastAsiaTheme="majorEastAsia" w:cstheme="majorBidi"/>
          <w:bCs/>
          <w:szCs w:val="20"/>
          <w:lang w:val="en-US"/>
        </w:rPr>
        <w:t>With its expression of interest under the Call for the Selection of Financial Intermediar</w:t>
      </w:r>
      <w:r w:rsidR="00AE3933">
        <w:rPr>
          <w:rFonts w:eastAsiaTheme="majorEastAsia" w:cstheme="majorBidi"/>
          <w:bCs/>
          <w:szCs w:val="20"/>
          <w:lang w:val="en-US"/>
        </w:rPr>
        <w:t>y</w:t>
      </w:r>
      <w:r w:rsidRPr="00146EFC">
        <w:rPr>
          <w:rFonts w:eastAsiaTheme="majorEastAsia" w:cstheme="majorBidi"/>
          <w:bCs/>
          <w:szCs w:val="20"/>
          <w:lang w:val="en-US"/>
        </w:rPr>
        <w:t xml:space="preserve">, the applicant encloses an investment proposal ("Investment Opportunity") that contains concise information on the market, investment strategy, </w:t>
      </w:r>
      <w:r w:rsidR="00137124">
        <w:rPr>
          <w:rFonts w:eastAsiaTheme="majorEastAsia" w:cstheme="majorBidi"/>
          <w:bCs/>
          <w:szCs w:val="20"/>
          <w:lang w:val="en-US"/>
        </w:rPr>
        <w:t>f</w:t>
      </w:r>
      <w:r w:rsidR="00137124" w:rsidRPr="00137124">
        <w:rPr>
          <w:rFonts w:eastAsiaTheme="majorEastAsia" w:cstheme="majorBidi"/>
          <w:bCs/>
          <w:szCs w:val="20"/>
          <w:lang w:val="en-US"/>
        </w:rPr>
        <w:t xml:space="preserve">inancial </w:t>
      </w:r>
      <w:r w:rsidR="00137124">
        <w:rPr>
          <w:rFonts w:eastAsiaTheme="majorEastAsia" w:cstheme="majorBidi"/>
          <w:bCs/>
          <w:szCs w:val="20"/>
          <w:lang w:val="en-US"/>
        </w:rPr>
        <w:t>i</w:t>
      </w:r>
      <w:r w:rsidR="00137124" w:rsidRPr="00137124">
        <w:rPr>
          <w:rFonts w:eastAsiaTheme="majorEastAsia" w:cstheme="majorBidi"/>
          <w:bCs/>
          <w:szCs w:val="20"/>
          <w:lang w:val="en-US"/>
        </w:rPr>
        <w:t>ntermediary</w:t>
      </w:r>
      <w:r w:rsidRPr="00137124">
        <w:rPr>
          <w:rFonts w:eastAsiaTheme="majorEastAsia" w:cstheme="majorBidi"/>
          <w:bCs/>
          <w:szCs w:val="20"/>
          <w:lang w:val="en-US"/>
        </w:rPr>
        <w:t>,</w:t>
      </w:r>
      <w:r w:rsidRPr="00146EFC">
        <w:rPr>
          <w:rFonts w:eastAsiaTheme="majorEastAsia" w:cstheme="majorBidi"/>
          <w:bCs/>
          <w:szCs w:val="20"/>
          <w:lang w:val="en-US"/>
        </w:rPr>
        <w:t xml:space="preserve"> etc. The key areas and questions to which clear answers must be provided in the presentation of the Investment Opportunity are highlighted below. The applicant may submit additional information that it considers important and relevant for HBOR's investment decision.</w:t>
      </w:r>
    </w:p>
    <w:p w14:paraId="0A508409" w14:textId="77777777" w:rsidR="00146EFC" w:rsidRPr="00146EFC" w:rsidRDefault="00146EFC" w:rsidP="00146EFC">
      <w:pPr>
        <w:spacing w:after="120" w:line="276" w:lineRule="auto"/>
        <w:jc w:val="both"/>
        <w:rPr>
          <w:rFonts w:cs="Arial"/>
          <w:bCs/>
          <w:szCs w:val="20"/>
          <w:lang w:val="en-US"/>
        </w:rPr>
      </w:pPr>
    </w:p>
    <w:p w14:paraId="1E51CA18" w14:textId="080EDBB1" w:rsidR="002B10A3" w:rsidRPr="00C27867" w:rsidRDefault="00B77EF0" w:rsidP="00034981">
      <w:pPr>
        <w:pStyle w:val="Heading2"/>
        <w:jc w:val="center"/>
        <w:rPr>
          <w:lang w:val="en-US"/>
        </w:rPr>
      </w:pPr>
      <w:bookmarkStart w:id="26" w:name="_Toc230164079"/>
      <w:r w:rsidRPr="00B77EF0">
        <w:rPr>
          <w:lang w:val="en-US"/>
        </w:rPr>
        <w:t>DESCRIPTION OF INVESTMENT OPPORTUNITY</w:t>
      </w:r>
      <w:bookmarkEnd w:id="26"/>
    </w:p>
    <w:p w14:paraId="3489B21B" w14:textId="77777777" w:rsidR="003C3AB6" w:rsidRPr="003C3AB6" w:rsidRDefault="003C3AB6" w:rsidP="003C3AB6">
      <w:pPr>
        <w:spacing w:after="120" w:line="276" w:lineRule="auto"/>
        <w:jc w:val="both"/>
        <w:rPr>
          <w:rFonts w:cs="Arial"/>
          <w:b/>
          <w:bCs/>
          <w:lang w:val="en-US"/>
        </w:rPr>
      </w:pPr>
      <w:r w:rsidRPr="003C3AB6">
        <w:rPr>
          <w:rFonts w:cs="Arial"/>
          <w:b/>
          <w:bCs/>
          <w:lang w:val="en-US"/>
        </w:rPr>
        <w:t>MARKET</w:t>
      </w:r>
    </w:p>
    <w:p w14:paraId="21827AE5" w14:textId="77777777" w:rsidR="003C3AB6" w:rsidRPr="003C3AB6" w:rsidRDefault="003C3AB6" w:rsidP="00C74CDC">
      <w:pPr>
        <w:numPr>
          <w:ilvl w:val="0"/>
          <w:numId w:val="8"/>
        </w:numPr>
        <w:tabs>
          <w:tab w:val="left" w:pos="284"/>
        </w:tabs>
        <w:spacing w:line="276" w:lineRule="auto"/>
        <w:ind w:left="284" w:hanging="284"/>
        <w:jc w:val="both"/>
        <w:rPr>
          <w:rFonts w:cs="Arial"/>
          <w:lang w:val="en-US"/>
        </w:rPr>
      </w:pPr>
      <w:r w:rsidRPr="003C3AB6">
        <w:rPr>
          <w:rFonts w:cs="Arial"/>
          <w:lang w:val="en-US"/>
        </w:rPr>
        <w:t xml:space="preserve">Description of target market opportunities in the country/region and sectors in which investment is </w:t>
      </w:r>
      <w:proofErr w:type="gramStart"/>
      <w:r w:rsidRPr="003C3AB6">
        <w:rPr>
          <w:rFonts w:cs="Arial"/>
          <w:lang w:val="en-US"/>
        </w:rPr>
        <w:t>planned;</w:t>
      </w:r>
      <w:proofErr w:type="gramEnd"/>
    </w:p>
    <w:p w14:paraId="25B168CD" w14:textId="2EFF8988" w:rsidR="003C3AB6" w:rsidRPr="003C3AB6" w:rsidRDefault="003C3AB6" w:rsidP="00C74CDC">
      <w:pPr>
        <w:numPr>
          <w:ilvl w:val="0"/>
          <w:numId w:val="8"/>
        </w:numPr>
        <w:tabs>
          <w:tab w:val="left" w:pos="284"/>
        </w:tabs>
        <w:spacing w:after="240" w:line="276" w:lineRule="auto"/>
        <w:ind w:left="284" w:hanging="284"/>
        <w:jc w:val="both"/>
        <w:rPr>
          <w:rFonts w:cs="Arial"/>
          <w:lang w:val="en-US"/>
        </w:rPr>
      </w:pPr>
      <w:r w:rsidRPr="003C3AB6">
        <w:rPr>
          <w:rFonts w:cs="Arial"/>
          <w:lang w:val="en-US"/>
        </w:rPr>
        <w:t>Analysis of competitors of target companies (final beneficiaries)</w:t>
      </w:r>
      <w:r w:rsidR="00543967">
        <w:rPr>
          <w:rFonts w:cs="Arial"/>
          <w:lang w:val="en-US"/>
        </w:rPr>
        <w:t>.</w:t>
      </w:r>
    </w:p>
    <w:p w14:paraId="62E651E8" w14:textId="77777777" w:rsidR="002B10A3" w:rsidRPr="00C27867" w:rsidRDefault="002B10A3" w:rsidP="002B10A3">
      <w:pPr>
        <w:spacing w:after="120" w:line="276" w:lineRule="auto"/>
        <w:jc w:val="both"/>
        <w:rPr>
          <w:rFonts w:cs="Arial"/>
          <w:lang w:val="en-US"/>
        </w:rPr>
      </w:pPr>
      <w:r w:rsidRPr="00C27867">
        <w:rPr>
          <w:rFonts w:cs="Arial"/>
          <w:b/>
          <w:bCs/>
          <w:lang w:val="en-US"/>
        </w:rPr>
        <w:t xml:space="preserve">AIF </w:t>
      </w:r>
    </w:p>
    <w:p w14:paraId="38E1226C" w14:textId="2F0420F6" w:rsidR="002B10A3" w:rsidRPr="00C27867" w:rsidRDefault="00CA4272" w:rsidP="00C74CDC">
      <w:pPr>
        <w:numPr>
          <w:ilvl w:val="0"/>
          <w:numId w:val="8"/>
        </w:numPr>
        <w:tabs>
          <w:tab w:val="left" w:pos="284"/>
        </w:tabs>
        <w:spacing w:line="276" w:lineRule="auto"/>
        <w:ind w:left="284" w:hanging="284"/>
        <w:jc w:val="both"/>
        <w:rPr>
          <w:rFonts w:cs="Arial"/>
          <w:lang w:val="en-US"/>
        </w:rPr>
      </w:pPr>
      <w:r w:rsidRPr="00CA4272">
        <w:rPr>
          <w:rFonts w:cs="Arial"/>
          <w:lang w:val="en-US"/>
        </w:rPr>
        <w:t xml:space="preserve">Minimum, maximum and target size of an AIF, explanation of why these sizes are adequate for the successful fulfilment of strategy and how the strategy will change depending on the final size of </w:t>
      </w:r>
      <w:proofErr w:type="gramStart"/>
      <w:r w:rsidRPr="00CA4272">
        <w:rPr>
          <w:rFonts w:cs="Arial"/>
          <w:lang w:val="en-US"/>
        </w:rPr>
        <w:t>AIF</w:t>
      </w:r>
      <w:r w:rsidR="002B10A3" w:rsidRPr="00C27867">
        <w:rPr>
          <w:rFonts w:cs="Arial"/>
          <w:lang w:val="en-US"/>
        </w:rPr>
        <w:t>;</w:t>
      </w:r>
      <w:proofErr w:type="gramEnd"/>
      <w:r w:rsidR="002B10A3" w:rsidRPr="00C27867">
        <w:rPr>
          <w:rFonts w:cs="Arial"/>
          <w:lang w:val="en-US"/>
        </w:rPr>
        <w:t xml:space="preserve"> </w:t>
      </w:r>
    </w:p>
    <w:p w14:paraId="4B101FBD" w14:textId="77777777" w:rsidR="00D46440" w:rsidRPr="00D46440" w:rsidRDefault="00D46440" w:rsidP="00C74CDC">
      <w:pPr>
        <w:numPr>
          <w:ilvl w:val="0"/>
          <w:numId w:val="8"/>
        </w:numPr>
        <w:tabs>
          <w:tab w:val="left" w:pos="284"/>
        </w:tabs>
        <w:spacing w:line="276" w:lineRule="auto"/>
        <w:ind w:left="284" w:hanging="284"/>
        <w:jc w:val="both"/>
        <w:rPr>
          <w:rFonts w:cs="Arial"/>
          <w:lang w:val="en-US"/>
        </w:rPr>
      </w:pPr>
      <w:r w:rsidRPr="00D46440">
        <w:rPr>
          <w:rFonts w:cs="Arial"/>
          <w:lang w:val="en-US"/>
        </w:rPr>
        <w:t xml:space="preserve">The requested amount of HBOR’s commitment under the </w:t>
      </w:r>
      <w:proofErr w:type="spellStart"/>
      <w:proofErr w:type="gramStart"/>
      <w:r w:rsidRPr="00D46440">
        <w:rPr>
          <w:rFonts w:cs="Arial"/>
          <w:lang w:val="en-US"/>
        </w:rPr>
        <w:t>Programme</w:t>
      </w:r>
      <w:proofErr w:type="spellEnd"/>
      <w:r w:rsidRPr="00D46440">
        <w:rPr>
          <w:rFonts w:cs="Arial"/>
          <w:lang w:val="en-US"/>
        </w:rPr>
        <w:t>;</w:t>
      </w:r>
      <w:proofErr w:type="gramEnd"/>
    </w:p>
    <w:p w14:paraId="449E6F46" w14:textId="77777777" w:rsidR="00D46440" w:rsidRPr="00D46440" w:rsidRDefault="00D46440" w:rsidP="00C74CDC">
      <w:pPr>
        <w:numPr>
          <w:ilvl w:val="0"/>
          <w:numId w:val="8"/>
        </w:numPr>
        <w:tabs>
          <w:tab w:val="left" w:pos="284"/>
        </w:tabs>
        <w:spacing w:line="276" w:lineRule="auto"/>
        <w:ind w:left="284" w:hanging="284"/>
        <w:jc w:val="both"/>
        <w:rPr>
          <w:rFonts w:cs="Arial"/>
          <w:lang w:val="en-US"/>
        </w:rPr>
      </w:pPr>
      <w:r w:rsidRPr="00D46440">
        <w:rPr>
          <w:rFonts w:cs="Arial"/>
          <w:lang w:val="en-US"/>
        </w:rPr>
        <w:t xml:space="preserve">The key economic terms of the fund, including management fee, establishment costs, preferred return, </w:t>
      </w:r>
      <w:proofErr w:type="gramStart"/>
      <w:r w:rsidRPr="00D46440">
        <w:rPr>
          <w:rFonts w:cs="Arial"/>
          <w:lang w:val="en-US"/>
        </w:rPr>
        <w:t>etc.;</w:t>
      </w:r>
      <w:proofErr w:type="gramEnd"/>
    </w:p>
    <w:p w14:paraId="1D2EF9F0" w14:textId="0D1FB390" w:rsidR="005144AB" w:rsidRPr="00D46440" w:rsidRDefault="00D46440" w:rsidP="00C74CDC">
      <w:pPr>
        <w:numPr>
          <w:ilvl w:val="0"/>
          <w:numId w:val="8"/>
        </w:numPr>
        <w:tabs>
          <w:tab w:val="left" w:pos="284"/>
        </w:tabs>
        <w:spacing w:after="240" w:line="276" w:lineRule="auto"/>
        <w:ind w:left="284" w:hanging="284"/>
        <w:jc w:val="both"/>
        <w:rPr>
          <w:rFonts w:cs="Arial"/>
          <w:lang w:val="en-US"/>
        </w:rPr>
      </w:pPr>
      <w:r w:rsidRPr="00D46440">
        <w:rPr>
          <w:rFonts w:cs="Arial"/>
          <w:lang w:val="en-US"/>
        </w:rPr>
        <w:t xml:space="preserve">The indicative amount of investment by members of the management team in </w:t>
      </w:r>
      <w:proofErr w:type="gramStart"/>
      <w:r w:rsidRPr="00D46440">
        <w:rPr>
          <w:rFonts w:cs="Arial"/>
          <w:lang w:val="en-US"/>
        </w:rPr>
        <w:t>the AIF</w:t>
      </w:r>
      <w:proofErr w:type="gramEnd"/>
      <w:r w:rsidRPr="00D46440">
        <w:rPr>
          <w:rFonts w:cs="Arial"/>
          <w:lang w:val="en-US"/>
        </w:rPr>
        <w:t>.</w:t>
      </w:r>
    </w:p>
    <w:p w14:paraId="54A35266" w14:textId="77777777" w:rsidR="00B20C5A" w:rsidRDefault="00B20C5A" w:rsidP="00082BAE">
      <w:pPr>
        <w:spacing w:after="120" w:line="276" w:lineRule="auto"/>
        <w:jc w:val="both"/>
        <w:rPr>
          <w:rFonts w:cs="Arial"/>
          <w:b/>
          <w:bCs/>
          <w:lang w:val="en-US"/>
        </w:rPr>
      </w:pPr>
      <w:r w:rsidRPr="00B20C5A">
        <w:rPr>
          <w:rFonts w:cs="Arial"/>
          <w:b/>
          <w:bCs/>
          <w:lang w:val="en-US"/>
        </w:rPr>
        <w:t>INVESTMENT STRATEGY</w:t>
      </w:r>
    </w:p>
    <w:p w14:paraId="3E7A6788" w14:textId="77777777" w:rsidR="003837FB" w:rsidRDefault="00082BAE" w:rsidP="003837FB">
      <w:pPr>
        <w:spacing w:line="276" w:lineRule="auto"/>
        <w:jc w:val="both"/>
        <w:rPr>
          <w:rFonts w:cs="Arial"/>
          <w:lang w:val="en-US"/>
        </w:rPr>
      </w:pPr>
      <w:r w:rsidRPr="00082BAE">
        <w:rPr>
          <w:rFonts w:cs="Arial"/>
          <w:lang w:val="en-US"/>
        </w:rPr>
        <w:t xml:space="preserve">Description of </w:t>
      </w:r>
      <w:proofErr w:type="gramStart"/>
      <w:r w:rsidRPr="00082BAE">
        <w:rPr>
          <w:rFonts w:cs="Arial"/>
          <w:lang w:val="en-US"/>
        </w:rPr>
        <w:t>the AIF’s</w:t>
      </w:r>
      <w:proofErr w:type="gramEnd"/>
      <w:r w:rsidRPr="00082BAE">
        <w:rPr>
          <w:rFonts w:cs="Arial"/>
          <w:lang w:val="en-US"/>
        </w:rPr>
        <w:t xml:space="preserve"> investment strategy:</w:t>
      </w:r>
    </w:p>
    <w:p w14:paraId="735D3BBB" w14:textId="58CFFF1A" w:rsidR="00082BAE" w:rsidRPr="003837FB" w:rsidRDefault="00082BAE" w:rsidP="00C74CDC">
      <w:pPr>
        <w:pStyle w:val="ListParagraph"/>
        <w:numPr>
          <w:ilvl w:val="0"/>
          <w:numId w:val="18"/>
        </w:numPr>
        <w:spacing w:line="276" w:lineRule="auto"/>
        <w:jc w:val="both"/>
        <w:rPr>
          <w:rFonts w:cs="Arial"/>
          <w:lang w:val="en-US"/>
        </w:rPr>
      </w:pPr>
      <w:r w:rsidRPr="003837FB">
        <w:rPr>
          <w:rFonts w:cs="Arial"/>
          <w:lang w:val="en-US"/>
        </w:rPr>
        <w:t>Type of transactions the AIF will target (equity investments, quasi-equity investments</w:t>
      </w:r>
      <w:proofErr w:type="gramStart"/>
      <w:r w:rsidRPr="003837FB">
        <w:rPr>
          <w:rFonts w:cs="Arial"/>
          <w:lang w:val="en-US"/>
        </w:rPr>
        <w:t>);</w:t>
      </w:r>
      <w:proofErr w:type="gramEnd"/>
    </w:p>
    <w:p w14:paraId="5AC95EE2" w14:textId="7F7764E0" w:rsidR="00082BAE" w:rsidRPr="00082BAE" w:rsidRDefault="00082BAE" w:rsidP="00C74CDC">
      <w:pPr>
        <w:pStyle w:val="ListParagraph"/>
        <w:numPr>
          <w:ilvl w:val="0"/>
          <w:numId w:val="18"/>
        </w:numPr>
        <w:spacing w:line="276" w:lineRule="auto"/>
        <w:jc w:val="both"/>
        <w:rPr>
          <w:rFonts w:cs="Arial"/>
          <w:lang w:val="en-US"/>
        </w:rPr>
      </w:pPr>
      <w:r w:rsidRPr="00082BAE">
        <w:rPr>
          <w:rFonts w:cs="Arial"/>
          <w:lang w:val="en-US"/>
        </w:rPr>
        <w:t>Expected amount (size) of individual transactions (including minimum and maximum amounts</w:t>
      </w:r>
      <w:proofErr w:type="gramStart"/>
      <w:r w:rsidRPr="00082BAE">
        <w:rPr>
          <w:rFonts w:cs="Arial"/>
          <w:lang w:val="en-US"/>
        </w:rPr>
        <w:t>);</w:t>
      </w:r>
      <w:proofErr w:type="gramEnd"/>
    </w:p>
    <w:p w14:paraId="7A49D7F1" w14:textId="3A3D61F1" w:rsidR="00082BAE" w:rsidRPr="00082BAE" w:rsidRDefault="00082BAE" w:rsidP="00C74CDC">
      <w:pPr>
        <w:pStyle w:val="ListParagraph"/>
        <w:numPr>
          <w:ilvl w:val="0"/>
          <w:numId w:val="18"/>
        </w:numPr>
        <w:spacing w:line="276" w:lineRule="auto"/>
        <w:jc w:val="both"/>
        <w:rPr>
          <w:rFonts w:cs="Arial"/>
          <w:lang w:val="en-US"/>
        </w:rPr>
      </w:pPr>
      <w:r w:rsidRPr="00082BAE">
        <w:rPr>
          <w:rFonts w:cs="Arial"/>
          <w:lang w:val="en-US"/>
        </w:rPr>
        <w:t xml:space="preserve">Investment dynamics and holding period of investments in the </w:t>
      </w:r>
      <w:proofErr w:type="gramStart"/>
      <w:r w:rsidRPr="00082BAE">
        <w:rPr>
          <w:rFonts w:cs="Arial"/>
          <w:lang w:val="en-US"/>
        </w:rPr>
        <w:t>portfolio;</w:t>
      </w:r>
      <w:proofErr w:type="gramEnd"/>
    </w:p>
    <w:p w14:paraId="7DEE4291" w14:textId="144F0731" w:rsidR="00082BAE" w:rsidRPr="00082BAE" w:rsidRDefault="00082BAE" w:rsidP="00C74CDC">
      <w:pPr>
        <w:pStyle w:val="ListParagraph"/>
        <w:numPr>
          <w:ilvl w:val="0"/>
          <w:numId w:val="18"/>
        </w:numPr>
        <w:spacing w:line="276" w:lineRule="auto"/>
        <w:jc w:val="both"/>
        <w:rPr>
          <w:rFonts w:cs="Arial"/>
          <w:lang w:val="en-US"/>
        </w:rPr>
      </w:pPr>
      <w:r w:rsidRPr="00082BAE">
        <w:rPr>
          <w:rFonts w:cs="Arial"/>
          <w:lang w:val="en-US"/>
        </w:rPr>
        <w:t>Geographic</w:t>
      </w:r>
      <w:r w:rsidR="008455B8">
        <w:rPr>
          <w:rFonts w:cs="Arial"/>
          <w:lang w:val="en-US"/>
        </w:rPr>
        <w:t xml:space="preserve">, </w:t>
      </w:r>
      <w:r w:rsidR="008455B8" w:rsidRPr="00082BAE">
        <w:rPr>
          <w:rFonts w:cs="Arial"/>
          <w:lang w:val="en-US"/>
        </w:rPr>
        <w:t>industries and sectors</w:t>
      </w:r>
      <w:r w:rsidRPr="00082BAE">
        <w:rPr>
          <w:rFonts w:cs="Arial"/>
          <w:lang w:val="en-US"/>
        </w:rPr>
        <w:t xml:space="preserve"> focus, as well as company's level of development and </w:t>
      </w:r>
      <w:proofErr w:type="gramStart"/>
      <w:r w:rsidRPr="00082BAE">
        <w:rPr>
          <w:rFonts w:cs="Arial"/>
          <w:lang w:val="en-US"/>
        </w:rPr>
        <w:t>size;</w:t>
      </w:r>
      <w:proofErr w:type="gramEnd"/>
    </w:p>
    <w:p w14:paraId="387CA4FE" w14:textId="3F0737B7" w:rsidR="00082BAE" w:rsidRPr="00082BAE" w:rsidRDefault="00082BAE" w:rsidP="00C74CDC">
      <w:pPr>
        <w:pStyle w:val="ListParagraph"/>
        <w:numPr>
          <w:ilvl w:val="0"/>
          <w:numId w:val="18"/>
        </w:numPr>
        <w:spacing w:line="276" w:lineRule="auto"/>
        <w:jc w:val="both"/>
        <w:rPr>
          <w:rFonts w:cs="Arial"/>
          <w:lang w:val="en-US"/>
        </w:rPr>
      </w:pPr>
      <w:r w:rsidRPr="00082BAE">
        <w:rPr>
          <w:rFonts w:cs="Arial"/>
          <w:lang w:val="en-US"/>
        </w:rPr>
        <w:t xml:space="preserve">Expected returns on </w:t>
      </w:r>
      <w:proofErr w:type="gramStart"/>
      <w:r w:rsidRPr="00082BAE">
        <w:rPr>
          <w:rFonts w:cs="Arial"/>
          <w:lang w:val="en-US"/>
        </w:rPr>
        <w:t>investments;</w:t>
      </w:r>
      <w:proofErr w:type="gramEnd"/>
    </w:p>
    <w:p w14:paraId="20D288E8" w14:textId="1F3A9198" w:rsidR="00082BAE" w:rsidRPr="00082BAE" w:rsidRDefault="00082BAE" w:rsidP="00C74CDC">
      <w:pPr>
        <w:pStyle w:val="ListParagraph"/>
        <w:numPr>
          <w:ilvl w:val="0"/>
          <w:numId w:val="18"/>
        </w:numPr>
        <w:spacing w:line="276" w:lineRule="auto"/>
        <w:jc w:val="both"/>
        <w:rPr>
          <w:rFonts w:cs="Arial"/>
          <w:lang w:val="en-US"/>
        </w:rPr>
      </w:pPr>
      <w:r w:rsidRPr="00082BAE">
        <w:rPr>
          <w:rFonts w:cs="Arial"/>
          <w:lang w:val="en-US"/>
        </w:rPr>
        <w:t>Detailed description of existing potential investment opportunities (pipeline) and the way such opportunities will be sourced (deal</w:t>
      </w:r>
      <w:r w:rsidR="00977638">
        <w:rPr>
          <w:rFonts w:cs="Arial"/>
          <w:lang w:val="en-US"/>
        </w:rPr>
        <w:t>-</w:t>
      </w:r>
      <w:r w:rsidRPr="00082BAE">
        <w:rPr>
          <w:rFonts w:cs="Arial"/>
          <w:lang w:val="en-US"/>
        </w:rPr>
        <w:t>flow</w:t>
      </w:r>
      <w:proofErr w:type="gramStart"/>
      <w:r w:rsidRPr="00082BAE">
        <w:rPr>
          <w:rFonts w:cs="Arial"/>
          <w:lang w:val="en-US"/>
        </w:rPr>
        <w:t>);</w:t>
      </w:r>
      <w:proofErr w:type="gramEnd"/>
    </w:p>
    <w:p w14:paraId="044D7FC5" w14:textId="59C2CFB9" w:rsidR="002B10A3" w:rsidRPr="00082BAE" w:rsidRDefault="00082BAE" w:rsidP="00C74CDC">
      <w:pPr>
        <w:pStyle w:val="ListParagraph"/>
        <w:numPr>
          <w:ilvl w:val="0"/>
          <w:numId w:val="18"/>
        </w:numPr>
        <w:spacing w:after="240" w:line="276" w:lineRule="auto"/>
        <w:jc w:val="both"/>
        <w:rPr>
          <w:rFonts w:cs="Arial"/>
          <w:lang w:val="en-US"/>
        </w:rPr>
      </w:pPr>
      <w:r w:rsidRPr="00082BAE">
        <w:rPr>
          <w:rFonts w:cs="Arial"/>
          <w:lang w:val="en-US"/>
        </w:rPr>
        <w:t>other relevant features</w:t>
      </w:r>
      <w:r w:rsidR="00946C85">
        <w:rPr>
          <w:rFonts w:cs="Arial"/>
          <w:lang w:val="en-US"/>
        </w:rPr>
        <w:t>.</w:t>
      </w:r>
    </w:p>
    <w:p w14:paraId="6778F86F" w14:textId="77777777" w:rsidR="003837FB" w:rsidRPr="003837FB" w:rsidRDefault="003837FB" w:rsidP="003837FB">
      <w:pPr>
        <w:spacing w:after="120" w:line="276" w:lineRule="auto"/>
        <w:jc w:val="both"/>
        <w:rPr>
          <w:rFonts w:cs="Arial"/>
          <w:b/>
          <w:bCs/>
          <w:lang w:val="en-US"/>
        </w:rPr>
      </w:pPr>
      <w:r w:rsidRPr="003837FB">
        <w:rPr>
          <w:rFonts w:cs="Arial"/>
          <w:b/>
          <w:bCs/>
          <w:lang w:val="en-US"/>
        </w:rPr>
        <w:t>FUND RAISING</w:t>
      </w:r>
    </w:p>
    <w:p w14:paraId="26DF9DFB" w14:textId="2EDC4ECA" w:rsidR="003837FB" w:rsidRPr="00D406C7" w:rsidRDefault="003837FB" w:rsidP="00C74CDC">
      <w:pPr>
        <w:numPr>
          <w:ilvl w:val="0"/>
          <w:numId w:val="8"/>
        </w:numPr>
        <w:tabs>
          <w:tab w:val="left" w:pos="284"/>
        </w:tabs>
        <w:spacing w:line="276" w:lineRule="auto"/>
        <w:ind w:left="284" w:hanging="284"/>
        <w:jc w:val="both"/>
        <w:rPr>
          <w:rFonts w:cs="Arial"/>
          <w:lang w:val="en-US"/>
        </w:rPr>
      </w:pPr>
      <w:r w:rsidRPr="00D406C7">
        <w:rPr>
          <w:rFonts w:cs="Arial"/>
          <w:lang w:val="en-US"/>
        </w:rPr>
        <w:t xml:space="preserve">Expected </w:t>
      </w:r>
      <w:r w:rsidR="00ED1DC4" w:rsidRPr="00D406C7">
        <w:rPr>
          <w:rFonts w:cs="Arial"/>
          <w:lang w:val="en-US"/>
        </w:rPr>
        <w:t xml:space="preserve">timeline for first and final </w:t>
      </w:r>
      <w:proofErr w:type="gramStart"/>
      <w:r w:rsidR="00ED1DC4" w:rsidRPr="00D406C7">
        <w:rPr>
          <w:rFonts w:cs="Arial"/>
          <w:lang w:val="en-US"/>
        </w:rPr>
        <w:t>closing</w:t>
      </w:r>
      <w:r w:rsidRPr="00D406C7">
        <w:rPr>
          <w:rFonts w:cs="Arial"/>
          <w:lang w:val="en-US"/>
        </w:rPr>
        <w:t>;</w:t>
      </w:r>
      <w:proofErr w:type="gramEnd"/>
    </w:p>
    <w:p w14:paraId="6BBC6FFC" w14:textId="7D8DF4D6" w:rsidR="003837FB" w:rsidRPr="003837FB" w:rsidRDefault="003837FB" w:rsidP="00C74CDC">
      <w:pPr>
        <w:numPr>
          <w:ilvl w:val="0"/>
          <w:numId w:val="8"/>
        </w:numPr>
        <w:tabs>
          <w:tab w:val="left" w:pos="284"/>
        </w:tabs>
        <w:spacing w:line="276" w:lineRule="auto"/>
        <w:ind w:left="284" w:hanging="284"/>
        <w:jc w:val="both"/>
        <w:rPr>
          <w:rFonts w:cs="Arial"/>
          <w:lang w:val="en-US"/>
        </w:rPr>
      </w:pPr>
      <w:r w:rsidRPr="003837FB">
        <w:rPr>
          <w:rFonts w:cs="Arial"/>
          <w:lang w:val="en-US"/>
        </w:rPr>
        <w:t xml:space="preserve">Types of target investors, list of names of potential investors, amount of investment and information on the current stage of negotiations including </w:t>
      </w:r>
      <w:r w:rsidR="00270C33">
        <w:rPr>
          <w:rFonts w:cs="Arial"/>
          <w:lang w:val="en-US"/>
        </w:rPr>
        <w:t>L</w:t>
      </w:r>
      <w:r w:rsidRPr="003837FB">
        <w:rPr>
          <w:rFonts w:cs="Arial"/>
          <w:lang w:val="en-US"/>
        </w:rPr>
        <w:t xml:space="preserve">etters of </w:t>
      </w:r>
      <w:r w:rsidR="00270C33">
        <w:rPr>
          <w:rFonts w:cs="Arial"/>
          <w:lang w:val="en-US"/>
        </w:rPr>
        <w:t>I</w:t>
      </w:r>
      <w:r w:rsidRPr="003837FB">
        <w:rPr>
          <w:rFonts w:cs="Arial"/>
          <w:lang w:val="en-US"/>
        </w:rPr>
        <w:t xml:space="preserve">ntent (even if non-binding), if </w:t>
      </w:r>
      <w:proofErr w:type="gramStart"/>
      <w:r w:rsidRPr="003837FB">
        <w:rPr>
          <w:rFonts w:cs="Arial"/>
          <w:lang w:val="en-US"/>
        </w:rPr>
        <w:t>any;</w:t>
      </w:r>
      <w:proofErr w:type="gramEnd"/>
    </w:p>
    <w:p w14:paraId="4E17D905" w14:textId="49F6C1C8" w:rsidR="002B10A3" w:rsidRPr="003837FB" w:rsidRDefault="003837FB" w:rsidP="00C74CDC">
      <w:pPr>
        <w:numPr>
          <w:ilvl w:val="0"/>
          <w:numId w:val="8"/>
        </w:numPr>
        <w:tabs>
          <w:tab w:val="left" w:pos="284"/>
        </w:tabs>
        <w:spacing w:line="276" w:lineRule="auto"/>
        <w:ind w:left="284" w:hanging="284"/>
        <w:jc w:val="both"/>
        <w:rPr>
          <w:rFonts w:cs="Arial"/>
          <w:lang w:val="en-US"/>
        </w:rPr>
      </w:pPr>
      <w:r w:rsidRPr="003837FB">
        <w:rPr>
          <w:rFonts w:cs="Arial"/>
          <w:lang w:val="en-US"/>
        </w:rPr>
        <w:t>Description of the details of special rights of investors in relation to AIF or Financial Intermediary, if any</w:t>
      </w:r>
      <w:r w:rsidR="00270C33">
        <w:rPr>
          <w:rFonts w:cs="Arial"/>
          <w:lang w:val="en-US"/>
        </w:rPr>
        <w:t>.</w:t>
      </w:r>
    </w:p>
    <w:p w14:paraId="1B8FA45D" w14:textId="77777777" w:rsidR="00283247" w:rsidRPr="00C27867" w:rsidRDefault="00283247" w:rsidP="002B10A3">
      <w:pPr>
        <w:spacing w:after="120" w:line="276" w:lineRule="auto"/>
        <w:jc w:val="both"/>
        <w:rPr>
          <w:rFonts w:cs="Arial"/>
          <w:lang w:val="en-US"/>
        </w:rPr>
      </w:pPr>
    </w:p>
    <w:p w14:paraId="3830FC8F" w14:textId="41CC1DCD" w:rsidR="00C64206" w:rsidRPr="00C64206" w:rsidRDefault="00E825AF" w:rsidP="00C64206">
      <w:pPr>
        <w:tabs>
          <w:tab w:val="left" w:pos="284"/>
        </w:tabs>
        <w:spacing w:after="120" w:line="276" w:lineRule="auto"/>
        <w:jc w:val="both"/>
        <w:rPr>
          <w:rFonts w:cs="Arial"/>
          <w:b/>
          <w:bCs/>
          <w:lang w:val="en-US"/>
        </w:rPr>
      </w:pPr>
      <w:r>
        <w:rPr>
          <w:rFonts w:cs="Arial"/>
          <w:b/>
          <w:bCs/>
          <w:lang w:val="en-US"/>
        </w:rPr>
        <w:t>MANAGEMENT COMPANY</w:t>
      </w:r>
    </w:p>
    <w:p w14:paraId="0833457B" w14:textId="6B5BAE21" w:rsidR="00C64206" w:rsidRDefault="009B477C" w:rsidP="00C74CDC">
      <w:pPr>
        <w:numPr>
          <w:ilvl w:val="0"/>
          <w:numId w:val="9"/>
        </w:numPr>
        <w:tabs>
          <w:tab w:val="left" w:pos="284"/>
        </w:tabs>
        <w:spacing w:line="276" w:lineRule="auto"/>
        <w:jc w:val="both"/>
        <w:rPr>
          <w:rFonts w:cs="Arial"/>
          <w:lang w:val="en-US"/>
        </w:rPr>
      </w:pPr>
      <w:r>
        <w:rPr>
          <w:rFonts w:cs="Arial"/>
          <w:lang w:val="en-US"/>
        </w:rPr>
        <w:t>O</w:t>
      </w:r>
      <w:r w:rsidR="00C64206" w:rsidRPr="00C64206">
        <w:rPr>
          <w:rFonts w:cs="Arial"/>
          <w:lang w:val="en-US"/>
        </w:rPr>
        <w:t xml:space="preserve">wnership and </w:t>
      </w:r>
      <w:proofErr w:type="spellStart"/>
      <w:r w:rsidR="00C64206" w:rsidRPr="00C64206">
        <w:rPr>
          <w:rFonts w:cs="Arial"/>
          <w:lang w:val="en-US"/>
        </w:rPr>
        <w:t>organisational</w:t>
      </w:r>
      <w:proofErr w:type="spellEnd"/>
      <w:r w:rsidR="00C64206" w:rsidRPr="00C64206">
        <w:rPr>
          <w:rFonts w:cs="Arial"/>
          <w:lang w:val="en-US"/>
        </w:rPr>
        <w:t xml:space="preserve"> structure with an overview (description of roles) of all employees of the </w:t>
      </w:r>
      <w:r w:rsidR="00F61E65">
        <w:rPr>
          <w:rFonts w:cs="Arial"/>
          <w:lang w:val="en-US"/>
        </w:rPr>
        <w:t xml:space="preserve">management </w:t>
      </w:r>
      <w:r w:rsidR="00247831">
        <w:rPr>
          <w:rFonts w:cs="Arial"/>
          <w:lang w:val="en-US"/>
        </w:rPr>
        <w:t>company</w:t>
      </w:r>
      <w:r w:rsidR="00347974">
        <w:rPr>
          <w:rFonts w:cs="Arial"/>
          <w:lang w:val="en-US"/>
        </w:rPr>
        <w:t xml:space="preserve"> </w:t>
      </w:r>
      <w:r w:rsidR="00C64206" w:rsidRPr="00C64206">
        <w:rPr>
          <w:rFonts w:cs="Arial"/>
          <w:lang w:val="en-US"/>
        </w:rPr>
        <w:t xml:space="preserve">and potential investment </w:t>
      </w:r>
      <w:proofErr w:type="gramStart"/>
      <w:r w:rsidR="00C64206" w:rsidRPr="00C64206">
        <w:rPr>
          <w:rFonts w:cs="Arial"/>
          <w:lang w:val="en-US"/>
        </w:rPr>
        <w:t>advisors</w:t>
      </w:r>
      <w:r w:rsidR="00C61D63">
        <w:rPr>
          <w:rFonts w:cs="Arial"/>
          <w:lang w:val="en-US"/>
        </w:rPr>
        <w:t>;</w:t>
      </w:r>
      <w:proofErr w:type="gramEnd"/>
    </w:p>
    <w:p w14:paraId="7E7708CC" w14:textId="37340B6B" w:rsidR="009B477C" w:rsidRPr="009B477C" w:rsidRDefault="00C64206" w:rsidP="00C74CDC">
      <w:pPr>
        <w:numPr>
          <w:ilvl w:val="0"/>
          <w:numId w:val="9"/>
        </w:numPr>
        <w:tabs>
          <w:tab w:val="left" w:pos="284"/>
        </w:tabs>
        <w:spacing w:line="276" w:lineRule="auto"/>
        <w:jc w:val="both"/>
        <w:rPr>
          <w:rFonts w:cs="Arial"/>
          <w:lang w:val="en-US"/>
        </w:rPr>
      </w:pPr>
      <w:r w:rsidRPr="00C64206">
        <w:rPr>
          <w:rFonts w:cs="Arial"/>
          <w:lang w:val="en-US"/>
        </w:rPr>
        <w:t xml:space="preserve"> </w:t>
      </w:r>
      <w:r w:rsidR="009B477C" w:rsidRPr="009B477C">
        <w:rPr>
          <w:rFonts w:cs="Arial"/>
          <w:lang w:val="en-US"/>
        </w:rPr>
        <w:t xml:space="preserve">Experience of team members relevant </w:t>
      </w:r>
      <w:proofErr w:type="gramStart"/>
      <w:r w:rsidR="009B477C" w:rsidRPr="009B477C">
        <w:rPr>
          <w:rFonts w:cs="Arial"/>
          <w:lang w:val="en-US"/>
        </w:rPr>
        <w:t>for</w:t>
      </w:r>
      <w:proofErr w:type="gramEnd"/>
      <w:r w:rsidR="009B477C" w:rsidRPr="009B477C">
        <w:rPr>
          <w:rFonts w:cs="Arial"/>
          <w:lang w:val="en-US"/>
        </w:rPr>
        <w:t xml:space="preserve"> the management of </w:t>
      </w:r>
      <w:proofErr w:type="gramStart"/>
      <w:r w:rsidR="009B477C" w:rsidRPr="009B477C">
        <w:rPr>
          <w:rFonts w:cs="Arial"/>
          <w:lang w:val="en-US"/>
        </w:rPr>
        <w:t>the AIF</w:t>
      </w:r>
      <w:proofErr w:type="gramEnd"/>
      <w:r w:rsidR="009B477C" w:rsidRPr="009B477C">
        <w:rPr>
          <w:rFonts w:cs="Arial"/>
          <w:lang w:val="en-US"/>
        </w:rPr>
        <w:t xml:space="preserve">, including experience in the </w:t>
      </w:r>
      <w:r w:rsidR="00247831">
        <w:rPr>
          <w:rFonts w:cs="Arial"/>
          <w:lang w:val="en-US"/>
        </w:rPr>
        <w:t>private equity</w:t>
      </w:r>
      <w:r w:rsidR="009B477C" w:rsidRPr="009B477C">
        <w:rPr>
          <w:rFonts w:cs="Arial"/>
          <w:lang w:val="en-US"/>
        </w:rPr>
        <w:t xml:space="preserve"> industry and public capital markets (information on transactions in which they have participated</w:t>
      </w:r>
      <w:proofErr w:type="gramStart"/>
      <w:r w:rsidR="009B477C" w:rsidRPr="009B477C">
        <w:rPr>
          <w:rFonts w:cs="Arial"/>
          <w:lang w:val="en-US"/>
        </w:rPr>
        <w:t>);</w:t>
      </w:r>
      <w:proofErr w:type="gramEnd"/>
    </w:p>
    <w:p w14:paraId="3799634F" w14:textId="5C3682A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Curricu</w:t>
      </w:r>
      <w:r w:rsidR="006A0291">
        <w:rPr>
          <w:rFonts w:cs="Arial"/>
          <w:lang w:val="en-US"/>
        </w:rPr>
        <w:t>lu</w:t>
      </w:r>
      <w:r w:rsidR="00C61D63">
        <w:rPr>
          <w:rFonts w:cs="Arial"/>
          <w:lang w:val="en-US"/>
        </w:rPr>
        <w:t>m</w:t>
      </w:r>
      <w:r w:rsidRPr="009B477C">
        <w:rPr>
          <w:rFonts w:cs="Arial"/>
          <w:lang w:val="en-US"/>
        </w:rPr>
        <w:t xml:space="preserve"> </w:t>
      </w:r>
      <w:r w:rsidR="00C667D6">
        <w:rPr>
          <w:rFonts w:cs="Arial"/>
          <w:lang w:val="en-US"/>
        </w:rPr>
        <w:t>V</w:t>
      </w:r>
      <w:r w:rsidRPr="009B477C">
        <w:rPr>
          <w:rFonts w:cs="Arial"/>
          <w:lang w:val="en-US"/>
        </w:rPr>
        <w:t xml:space="preserve">itae </w:t>
      </w:r>
      <w:r w:rsidR="00C667D6">
        <w:rPr>
          <w:rFonts w:cs="Arial"/>
          <w:lang w:val="en-US"/>
        </w:rPr>
        <w:t xml:space="preserve">(CV) </w:t>
      </w:r>
      <w:r w:rsidRPr="009B477C">
        <w:rPr>
          <w:rFonts w:cs="Arial"/>
          <w:lang w:val="en-US"/>
        </w:rPr>
        <w:t xml:space="preserve">of team </w:t>
      </w:r>
      <w:proofErr w:type="gramStart"/>
      <w:r w:rsidRPr="009B477C">
        <w:rPr>
          <w:rFonts w:cs="Arial"/>
          <w:lang w:val="en-US"/>
        </w:rPr>
        <w:t>members;</w:t>
      </w:r>
      <w:proofErr w:type="gramEnd"/>
    </w:p>
    <w:p w14:paraId="1283A871"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Description of the team members’ previous joint </w:t>
      </w:r>
      <w:proofErr w:type="gramStart"/>
      <w:r w:rsidRPr="009B477C">
        <w:rPr>
          <w:rFonts w:cs="Arial"/>
          <w:lang w:val="en-US"/>
        </w:rPr>
        <w:t>experience;</w:t>
      </w:r>
      <w:proofErr w:type="gramEnd"/>
    </w:p>
    <w:p w14:paraId="5FE1A940"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Description of the presence in the Republic of Croatia, as well as the existing network of contacts and established relationships in the Croatian </w:t>
      </w:r>
      <w:proofErr w:type="gramStart"/>
      <w:r w:rsidRPr="009B477C">
        <w:rPr>
          <w:rFonts w:cs="Arial"/>
          <w:lang w:val="en-US"/>
        </w:rPr>
        <w:t>market;</w:t>
      </w:r>
      <w:proofErr w:type="gramEnd"/>
    </w:p>
    <w:p w14:paraId="6F26F0E9"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Description of the expected legal structure, including information on </w:t>
      </w:r>
      <w:proofErr w:type="gramStart"/>
      <w:r w:rsidRPr="009B477C">
        <w:rPr>
          <w:rFonts w:cs="Arial"/>
          <w:lang w:val="en-US"/>
        </w:rPr>
        <w:t>jurisdiction;</w:t>
      </w:r>
      <w:proofErr w:type="gramEnd"/>
    </w:p>
    <w:p w14:paraId="43F513BB"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lastRenderedPageBreak/>
        <w:t xml:space="preserve">Description of the governance structure enabling decision-making on investments, divestments and risk diversification in accordance with the applicable legal documentation and relevant market </w:t>
      </w:r>
      <w:proofErr w:type="gramStart"/>
      <w:r w:rsidRPr="009B477C">
        <w:rPr>
          <w:rFonts w:cs="Arial"/>
          <w:lang w:val="en-US"/>
        </w:rPr>
        <w:t>practice;</w:t>
      </w:r>
      <w:proofErr w:type="gramEnd"/>
    </w:p>
    <w:p w14:paraId="2C02B4CB"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Composition of the Investment Committee and the voting </w:t>
      </w:r>
      <w:proofErr w:type="gramStart"/>
      <w:r w:rsidRPr="009B477C">
        <w:rPr>
          <w:rFonts w:cs="Arial"/>
          <w:lang w:val="en-US"/>
        </w:rPr>
        <w:t>mechanism;</w:t>
      </w:r>
      <w:proofErr w:type="gramEnd"/>
    </w:p>
    <w:p w14:paraId="7EDE8AA3"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Information on members of the Advisory Committee and the Investment Committee to be established (including, inter alia, their involvement in the decision-making process, with particular emphasis on the independence of the management team in relation to investment decisions</w:t>
      </w:r>
      <w:proofErr w:type="gramStart"/>
      <w:r w:rsidRPr="009B477C">
        <w:rPr>
          <w:rFonts w:cs="Arial"/>
          <w:lang w:val="en-US"/>
        </w:rPr>
        <w:t>);</w:t>
      </w:r>
      <w:proofErr w:type="gramEnd"/>
    </w:p>
    <w:p w14:paraId="3A798694"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Risk management methodology, procedures and </w:t>
      </w:r>
      <w:proofErr w:type="gramStart"/>
      <w:r w:rsidRPr="009B477C">
        <w:rPr>
          <w:rFonts w:cs="Arial"/>
          <w:lang w:val="en-US"/>
        </w:rPr>
        <w:t>systems;</w:t>
      </w:r>
      <w:proofErr w:type="gramEnd"/>
    </w:p>
    <w:p w14:paraId="632C9CE0"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Details of the planned allocation of the performance fee among team </w:t>
      </w:r>
      <w:proofErr w:type="gramStart"/>
      <w:r w:rsidRPr="009B477C">
        <w:rPr>
          <w:rFonts w:cs="Arial"/>
          <w:lang w:val="en-US"/>
        </w:rPr>
        <w:t>members;</w:t>
      </w:r>
      <w:proofErr w:type="gramEnd"/>
    </w:p>
    <w:p w14:paraId="418B37A8" w14:textId="77777777"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Description of track record (if available), as well as information on the Applicant’s history and its previous and/or current business activities, with a specific description of any activities that may give rise to a potential conflict of interest in relation to the </w:t>
      </w:r>
      <w:proofErr w:type="gramStart"/>
      <w:r w:rsidRPr="009B477C">
        <w:rPr>
          <w:rFonts w:cs="Arial"/>
          <w:lang w:val="en-US"/>
        </w:rPr>
        <w:t>AIF;</w:t>
      </w:r>
      <w:proofErr w:type="gramEnd"/>
    </w:p>
    <w:p w14:paraId="14E312A8" w14:textId="4E808E7B"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Description of appropriate measures to avoid conflicts of interest and to align the interests of the </w:t>
      </w:r>
      <w:r w:rsidR="00347974">
        <w:rPr>
          <w:rFonts w:cs="Arial"/>
          <w:lang w:val="en-US"/>
        </w:rPr>
        <w:t>f</w:t>
      </w:r>
      <w:r w:rsidRPr="009B477C">
        <w:rPr>
          <w:rFonts w:cs="Arial"/>
          <w:lang w:val="en-US"/>
        </w:rPr>
        <w:t xml:space="preserve">inancial </w:t>
      </w:r>
      <w:r w:rsidR="00347974">
        <w:rPr>
          <w:rFonts w:cs="Arial"/>
          <w:lang w:val="en-US"/>
        </w:rPr>
        <w:t>i</w:t>
      </w:r>
      <w:r w:rsidRPr="009B477C">
        <w:rPr>
          <w:rFonts w:cs="Arial"/>
          <w:lang w:val="en-US"/>
        </w:rPr>
        <w:t xml:space="preserve">ntermediary, its managers and investors, where such measures shall be in line with market </w:t>
      </w:r>
      <w:proofErr w:type="gramStart"/>
      <w:r w:rsidRPr="009B477C">
        <w:rPr>
          <w:rFonts w:cs="Arial"/>
          <w:lang w:val="en-US"/>
        </w:rPr>
        <w:t>practice;</w:t>
      </w:r>
      <w:proofErr w:type="gramEnd"/>
    </w:p>
    <w:p w14:paraId="664F7CB6" w14:textId="15F3E360" w:rsidR="009B477C" w:rsidRPr="009B477C" w:rsidRDefault="009B477C" w:rsidP="00C74CDC">
      <w:pPr>
        <w:numPr>
          <w:ilvl w:val="0"/>
          <w:numId w:val="9"/>
        </w:numPr>
        <w:tabs>
          <w:tab w:val="left" w:pos="284"/>
        </w:tabs>
        <w:spacing w:line="276" w:lineRule="auto"/>
        <w:jc w:val="both"/>
        <w:rPr>
          <w:rFonts w:cs="Arial"/>
          <w:lang w:val="en-US"/>
        </w:rPr>
      </w:pPr>
      <w:r w:rsidRPr="009B477C">
        <w:rPr>
          <w:rFonts w:cs="Arial"/>
          <w:lang w:val="en-US"/>
        </w:rPr>
        <w:t xml:space="preserve">Budget of the </w:t>
      </w:r>
      <w:r w:rsidR="00347974" w:rsidRPr="00347974">
        <w:rPr>
          <w:rFonts w:cs="Arial"/>
          <w:lang w:val="en-US"/>
        </w:rPr>
        <w:t>Financial Intermediar</w:t>
      </w:r>
      <w:r w:rsidR="00347974">
        <w:rPr>
          <w:rFonts w:cs="Arial"/>
          <w:lang w:val="en-US"/>
        </w:rPr>
        <w:t>y</w:t>
      </w:r>
      <w:r w:rsidRPr="009B477C">
        <w:rPr>
          <w:rFonts w:cs="Arial"/>
          <w:lang w:val="en-US"/>
        </w:rPr>
        <w:t xml:space="preserve">, with </w:t>
      </w:r>
      <w:r w:rsidR="00347974" w:rsidRPr="009B477C">
        <w:rPr>
          <w:rFonts w:cs="Arial"/>
          <w:lang w:val="en-US"/>
        </w:rPr>
        <w:t>reference</w:t>
      </w:r>
      <w:r w:rsidRPr="009B477C">
        <w:rPr>
          <w:rFonts w:cs="Arial"/>
          <w:lang w:val="en-US"/>
        </w:rPr>
        <w:t xml:space="preserve"> to the remuneration </w:t>
      </w:r>
      <w:proofErr w:type="gramStart"/>
      <w:r w:rsidRPr="009B477C">
        <w:rPr>
          <w:rFonts w:cs="Arial"/>
          <w:lang w:val="en-US"/>
        </w:rPr>
        <w:t>policy;</w:t>
      </w:r>
      <w:proofErr w:type="gramEnd"/>
    </w:p>
    <w:p w14:paraId="047ECCC6" w14:textId="12704F7A" w:rsidR="009204CF" w:rsidRDefault="009B477C" w:rsidP="00C74CDC">
      <w:pPr>
        <w:numPr>
          <w:ilvl w:val="0"/>
          <w:numId w:val="9"/>
        </w:numPr>
        <w:tabs>
          <w:tab w:val="left" w:pos="284"/>
        </w:tabs>
        <w:spacing w:line="276" w:lineRule="auto"/>
        <w:jc w:val="both"/>
        <w:rPr>
          <w:rFonts w:cs="Arial"/>
          <w:lang w:val="en-US"/>
        </w:rPr>
      </w:pPr>
      <w:r w:rsidRPr="009B477C">
        <w:rPr>
          <w:rFonts w:cs="Arial"/>
          <w:lang w:val="en-US"/>
        </w:rPr>
        <w:t>Please indicate the main competitors and describe your competitive advantage.</w:t>
      </w:r>
    </w:p>
    <w:p w14:paraId="36E79943" w14:textId="77777777" w:rsidR="006A20A3" w:rsidRDefault="006A20A3" w:rsidP="006A20A3">
      <w:pPr>
        <w:tabs>
          <w:tab w:val="left" w:pos="284"/>
        </w:tabs>
        <w:spacing w:line="276" w:lineRule="auto"/>
        <w:jc w:val="both"/>
        <w:rPr>
          <w:rFonts w:cs="Arial"/>
          <w:lang w:val="en-US"/>
        </w:rPr>
      </w:pPr>
    </w:p>
    <w:p w14:paraId="15455FB1" w14:textId="77777777" w:rsidR="006A20A3" w:rsidRDefault="006A20A3" w:rsidP="006A20A3">
      <w:pPr>
        <w:tabs>
          <w:tab w:val="left" w:pos="284"/>
        </w:tabs>
        <w:spacing w:line="276" w:lineRule="auto"/>
        <w:jc w:val="both"/>
        <w:rPr>
          <w:rFonts w:cs="Arial"/>
          <w:lang w:val="en-US"/>
        </w:rPr>
      </w:pPr>
    </w:p>
    <w:p w14:paraId="15A6398A" w14:textId="77777777" w:rsidR="006A20A3" w:rsidRDefault="006A20A3" w:rsidP="006A20A3">
      <w:pPr>
        <w:tabs>
          <w:tab w:val="left" w:pos="284"/>
        </w:tabs>
        <w:spacing w:line="276" w:lineRule="auto"/>
        <w:jc w:val="both"/>
        <w:rPr>
          <w:rFonts w:cs="Arial"/>
          <w:lang w:val="en-US"/>
        </w:rPr>
      </w:pPr>
    </w:p>
    <w:p w14:paraId="22783CDC" w14:textId="77777777" w:rsidR="006A20A3" w:rsidRPr="00F92EF0" w:rsidRDefault="006A20A3" w:rsidP="006A20A3">
      <w:pPr>
        <w:jc w:val="center"/>
        <w:rPr>
          <w:rFonts w:cs="Arial"/>
          <w:i/>
          <w:iCs/>
          <w:szCs w:val="20"/>
          <w:lang w:val="en-GB"/>
        </w:rPr>
      </w:pPr>
      <w:r w:rsidRPr="00F92EF0">
        <w:rPr>
          <w:rFonts w:cs="Arial"/>
          <w:i/>
          <w:iCs/>
          <w:szCs w:val="20"/>
          <w:lang w:val="en-GB"/>
        </w:rPr>
        <w:t>This is an unofficial translation of the original text in Croatian. In case of discrepancies, the Croatian version will prevail.</w:t>
      </w:r>
    </w:p>
    <w:p w14:paraId="28E6347C" w14:textId="77777777" w:rsidR="006A20A3" w:rsidRPr="00C27867" w:rsidRDefault="006A20A3" w:rsidP="006A20A3">
      <w:pPr>
        <w:tabs>
          <w:tab w:val="left" w:pos="284"/>
        </w:tabs>
        <w:spacing w:line="276" w:lineRule="auto"/>
        <w:jc w:val="both"/>
        <w:rPr>
          <w:rFonts w:cs="Arial"/>
          <w:lang w:val="en-US"/>
        </w:rPr>
      </w:pPr>
    </w:p>
    <w:sectPr w:rsidR="006A20A3" w:rsidRPr="00C27867" w:rsidSect="008E52CF">
      <w:pgSz w:w="11907" w:h="16840" w:code="9"/>
      <w:pgMar w:top="1440" w:right="1080" w:bottom="1440" w:left="108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731B" w14:textId="77777777" w:rsidR="00035A18" w:rsidRPr="00634235" w:rsidRDefault="00035A18" w:rsidP="006372FA">
      <w:r w:rsidRPr="00634235">
        <w:separator/>
      </w:r>
    </w:p>
  </w:endnote>
  <w:endnote w:type="continuationSeparator" w:id="0">
    <w:p w14:paraId="75FE4F06" w14:textId="77777777" w:rsidR="00035A18" w:rsidRPr="00634235" w:rsidRDefault="00035A18" w:rsidP="006372FA">
      <w:r w:rsidRPr="00634235">
        <w:continuationSeparator/>
      </w:r>
    </w:p>
  </w:endnote>
  <w:endnote w:type="continuationNotice" w:id="1">
    <w:p w14:paraId="556AB500" w14:textId="77777777" w:rsidR="00035A18" w:rsidRPr="00634235" w:rsidRDefault="00035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869754"/>
      <w:docPartObj>
        <w:docPartGallery w:val="Page Numbers (Bottom of Page)"/>
        <w:docPartUnique/>
      </w:docPartObj>
    </w:sdtPr>
    <w:sdtContent>
      <w:p w14:paraId="71D2F6F2" w14:textId="71C3FC1B" w:rsidR="00234E7F" w:rsidRDefault="00234E7F">
        <w:pPr>
          <w:pStyle w:val="Footer"/>
          <w:jc w:val="right"/>
        </w:pPr>
        <w:r>
          <w:fldChar w:fldCharType="begin"/>
        </w:r>
        <w:r>
          <w:instrText>PAGE   \* MERGEFORMAT</w:instrText>
        </w:r>
        <w:r>
          <w:fldChar w:fldCharType="separate"/>
        </w:r>
        <w:r>
          <w:t>2</w:t>
        </w:r>
        <w:r>
          <w:fldChar w:fldCharType="end"/>
        </w:r>
      </w:p>
    </w:sdtContent>
  </w:sdt>
  <w:p w14:paraId="5B51C429" w14:textId="6BC93A74" w:rsidR="00EB57A4" w:rsidRPr="00B241B0" w:rsidRDefault="00EB57A4" w:rsidP="00234E7F">
    <w:pPr>
      <w:pStyle w:val="Footer"/>
      <w:tabs>
        <w:tab w:val="left" w:pos="90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10188"/>
      <w:docPartObj>
        <w:docPartGallery w:val="Page Numbers (Bottom of Page)"/>
        <w:docPartUnique/>
      </w:docPartObj>
    </w:sdtPr>
    <w:sdtContent>
      <w:p w14:paraId="5A42093C" w14:textId="5B0C9D99" w:rsidR="00CA03AF" w:rsidRDefault="00AB0628" w:rsidP="00234E7F">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6C79" w14:textId="77777777" w:rsidR="00035A18" w:rsidRPr="00634235" w:rsidRDefault="00035A18" w:rsidP="006372FA">
      <w:r w:rsidRPr="00634235">
        <w:separator/>
      </w:r>
    </w:p>
  </w:footnote>
  <w:footnote w:type="continuationSeparator" w:id="0">
    <w:p w14:paraId="2A9CAF98" w14:textId="77777777" w:rsidR="00035A18" w:rsidRPr="00634235" w:rsidRDefault="00035A18" w:rsidP="006372FA">
      <w:r w:rsidRPr="00634235">
        <w:continuationSeparator/>
      </w:r>
    </w:p>
  </w:footnote>
  <w:footnote w:type="continuationNotice" w:id="1">
    <w:p w14:paraId="73D9F839" w14:textId="77777777" w:rsidR="00035A18" w:rsidRPr="00634235" w:rsidRDefault="00035A18"/>
  </w:footnote>
  <w:footnote w:id="2">
    <w:p w14:paraId="32C58E96" w14:textId="145C692F" w:rsidR="00FF296C" w:rsidRDefault="00FF296C">
      <w:pPr>
        <w:pStyle w:val="FootnoteText"/>
      </w:pPr>
      <w:r>
        <w:rPr>
          <w:rStyle w:val="FootnoteReference"/>
        </w:rPr>
        <w:footnoteRef/>
      </w:r>
      <w:r>
        <w:t xml:space="preserve"> </w:t>
      </w:r>
      <w:proofErr w:type="spellStart"/>
      <w:r w:rsidRPr="00FF296C">
        <w:rPr>
          <w:sz w:val="16"/>
          <w:szCs w:val="16"/>
        </w:rPr>
        <w:t>Invest</w:t>
      </w:r>
      <w:proofErr w:type="spellEnd"/>
      <w:r w:rsidRPr="00FF296C">
        <w:rPr>
          <w:sz w:val="16"/>
          <w:szCs w:val="16"/>
        </w:rPr>
        <w:t xml:space="preserve"> Europe, </w:t>
      </w:r>
      <w:proofErr w:type="spellStart"/>
      <w:r w:rsidRPr="00FF296C">
        <w:rPr>
          <w:sz w:val="16"/>
          <w:szCs w:val="16"/>
        </w:rPr>
        <w:t>Glossary</w:t>
      </w:r>
      <w:proofErr w:type="spellEnd"/>
      <w:r w:rsidRPr="00FF296C">
        <w:rPr>
          <w:sz w:val="16"/>
          <w:szCs w:val="16"/>
        </w:rPr>
        <w:t xml:space="preserve"> </w:t>
      </w:r>
      <w:proofErr w:type="spellStart"/>
      <w:r w:rsidRPr="00FF296C">
        <w:rPr>
          <w:sz w:val="16"/>
          <w:szCs w:val="16"/>
        </w:rPr>
        <w:t>and</w:t>
      </w:r>
      <w:proofErr w:type="spellEnd"/>
      <w:r w:rsidRPr="00FF296C">
        <w:rPr>
          <w:sz w:val="16"/>
          <w:szCs w:val="16"/>
        </w:rPr>
        <w:t xml:space="preserve"> </w:t>
      </w:r>
      <w:proofErr w:type="spellStart"/>
      <w:r w:rsidRPr="00FF296C">
        <w:rPr>
          <w:sz w:val="16"/>
          <w:szCs w:val="16"/>
        </w:rPr>
        <w:t>methodology</w:t>
      </w:r>
      <w:proofErr w:type="spellEnd"/>
      <w:r w:rsidRPr="00FF296C">
        <w:rPr>
          <w:sz w:val="16"/>
          <w:szCs w:val="16"/>
        </w:rPr>
        <w:t xml:space="preserve">: </w:t>
      </w:r>
      <w:hyperlink r:id="rId1" w:history="1">
        <w:r w:rsidRPr="00D30408">
          <w:rPr>
            <w:rStyle w:val="Hyperlink"/>
            <w:sz w:val="16"/>
            <w:szCs w:val="16"/>
          </w:rPr>
          <w:t>https://www.investeurope.eu/media/2784/invest-europe-research-methodology-and-definitions.xlsx</w:t>
        </w:r>
      </w:hyperlink>
    </w:p>
  </w:footnote>
  <w:footnote w:id="3">
    <w:p w14:paraId="368E0530" w14:textId="1D05FD33" w:rsidR="00443C7F" w:rsidRDefault="00443C7F">
      <w:pPr>
        <w:pStyle w:val="FootnoteText"/>
      </w:pPr>
      <w:r>
        <w:rPr>
          <w:rStyle w:val="FootnoteReference"/>
        </w:rPr>
        <w:footnoteRef/>
      </w:r>
      <w:r>
        <w:t xml:space="preserve"> </w:t>
      </w:r>
      <w:proofErr w:type="spellStart"/>
      <w:r w:rsidRPr="00443C7F">
        <w:rPr>
          <w:sz w:val="16"/>
          <w:szCs w:val="16"/>
        </w:rPr>
        <w:t>Pre</w:t>
      </w:r>
      <w:proofErr w:type="spellEnd"/>
      <w:r w:rsidRPr="00443C7F">
        <w:rPr>
          <w:sz w:val="16"/>
          <w:szCs w:val="16"/>
        </w:rPr>
        <w:t xml:space="preserve">-IPO Alternative </w:t>
      </w:r>
      <w:proofErr w:type="spellStart"/>
      <w:r w:rsidRPr="00443C7F">
        <w:rPr>
          <w:sz w:val="16"/>
          <w:szCs w:val="16"/>
        </w:rPr>
        <w:t>Investment</w:t>
      </w:r>
      <w:proofErr w:type="spellEnd"/>
      <w:r w:rsidRPr="00443C7F">
        <w:rPr>
          <w:sz w:val="16"/>
          <w:szCs w:val="16"/>
        </w:rPr>
        <w:t xml:space="preserve"> </w:t>
      </w:r>
      <w:proofErr w:type="spellStart"/>
      <w:r w:rsidRPr="00443C7F">
        <w:rPr>
          <w:sz w:val="16"/>
          <w:szCs w:val="16"/>
        </w:rPr>
        <w:t>Fund</w:t>
      </w:r>
      <w:proofErr w:type="spellEnd"/>
      <w:r w:rsidRPr="00443C7F">
        <w:rPr>
          <w:sz w:val="16"/>
          <w:szCs w:val="16"/>
        </w:rPr>
        <w:t xml:space="preserve"> </w:t>
      </w:r>
      <w:proofErr w:type="spellStart"/>
      <w:r w:rsidRPr="00443C7F">
        <w:rPr>
          <w:sz w:val="16"/>
          <w:szCs w:val="16"/>
        </w:rPr>
        <w:t>Investment</w:t>
      </w:r>
      <w:proofErr w:type="spellEnd"/>
      <w:r w:rsidRPr="00443C7F">
        <w:rPr>
          <w:sz w:val="16"/>
          <w:szCs w:val="16"/>
        </w:rPr>
        <w:t xml:space="preserve"> </w:t>
      </w:r>
      <w:proofErr w:type="spellStart"/>
      <w:r w:rsidRPr="00443C7F">
        <w:rPr>
          <w:sz w:val="16"/>
          <w:szCs w:val="16"/>
        </w:rPr>
        <w:t>Programme</w:t>
      </w:r>
      <w:proofErr w:type="spellEnd"/>
      <w:r w:rsidRPr="00443C7F">
        <w:rPr>
          <w:sz w:val="16"/>
          <w:szCs w:val="16"/>
        </w:rPr>
        <w:t xml:space="preserve">, </w:t>
      </w:r>
      <w:proofErr w:type="spellStart"/>
      <w:r w:rsidRPr="00443C7F">
        <w:rPr>
          <w:sz w:val="16"/>
          <w:szCs w:val="16"/>
        </w:rPr>
        <w:t>available</w:t>
      </w:r>
      <w:proofErr w:type="spellEnd"/>
      <w:r w:rsidRPr="00443C7F">
        <w:rPr>
          <w:sz w:val="16"/>
          <w:szCs w:val="16"/>
        </w:rPr>
        <w:t xml:space="preserve"> </w:t>
      </w:r>
      <w:proofErr w:type="spellStart"/>
      <w:r w:rsidRPr="00443C7F">
        <w:rPr>
          <w:sz w:val="16"/>
          <w:szCs w:val="16"/>
          <w:u w:val="single"/>
        </w:rPr>
        <w:t>here</w:t>
      </w:r>
      <w:proofErr w:type="spellEnd"/>
      <w:r>
        <w:rPr>
          <w:sz w:val="16"/>
          <w:szCs w:val="16"/>
          <w:u w:val="single"/>
        </w:rPr>
        <w:t>.</w:t>
      </w:r>
    </w:p>
  </w:footnote>
  <w:footnote w:id="4">
    <w:p w14:paraId="0AD99A5F" w14:textId="2EB8A721" w:rsidR="002C00AC" w:rsidRPr="005B3B05" w:rsidRDefault="002C00AC" w:rsidP="00967998">
      <w:pPr>
        <w:pStyle w:val="FootnoteText"/>
        <w:rPr>
          <w:sz w:val="16"/>
          <w:szCs w:val="16"/>
        </w:rPr>
      </w:pPr>
      <w:r w:rsidRPr="005B3B05">
        <w:rPr>
          <w:rStyle w:val="FootnoteReference"/>
          <w:rFonts w:eastAsiaTheme="majorEastAsia"/>
          <w:sz w:val="16"/>
          <w:szCs w:val="16"/>
        </w:rPr>
        <w:footnoteRef/>
      </w:r>
      <w:r w:rsidRPr="005B3B05">
        <w:rPr>
          <w:sz w:val="16"/>
          <w:szCs w:val="16"/>
        </w:rPr>
        <w:t xml:space="preserve"> </w:t>
      </w:r>
      <w:r w:rsidR="00CA748A" w:rsidRPr="005B3B05">
        <w:rPr>
          <w:sz w:val="16"/>
          <w:szCs w:val="16"/>
          <w:lang w:val="en-GB"/>
        </w:rPr>
        <w:t xml:space="preserve">REGULATION (EU) 2020/852 OF THE EUROPEAN PARLIAMENT AND OF THE COUNCIL of 18 June 2020 on establishing a framework to facilitate sustainable investment and amending the Regulation (EU) 2019/2088 </w:t>
      </w:r>
      <w:hyperlink r:id="rId2" w:history="1">
        <w:r w:rsidR="00CA748A" w:rsidRPr="005B3B05">
          <w:rPr>
            <w:rStyle w:val="Hyperlink"/>
            <w:sz w:val="16"/>
            <w:szCs w:val="16"/>
            <w:lang w:val="en-GB"/>
          </w:rPr>
          <w:t>https://eur-lex.europa.eu/legal-content/EN/TXT/PDF/?uri=CELEX:32020R0852&amp;from=EN</w:t>
        </w:r>
      </w:hyperlink>
      <w:r w:rsidR="00CA748A" w:rsidRPr="005B3B05">
        <w:rPr>
          <w:sz w:val="16"/>
          <w:szCs w:val="16"/>
          <w:lang w:val="en-GB"/>
        </w:rPr>
        <w:t xml:space="preserve">  </w:t>
      </w:r>
    </w:p>
  </w:footnote>
  <w:footnote w:id="5">
    <w:p w14:paraId="0CA96470" w14:textId="1B9C1CFE" w:rsidR="007E79AB" w:rsidRPr="00967998" w:rsidRDefault="007E79AB" w:rsidP="00967998">
      <w:pPr>
        <w:pStyle w:val="FootnoteText"/>
        <w:rPr>
          <w:sz w:val="16"/>
          <w:szCs w:val="16"/>
        </w:rPr>
      </w:pPr>
      <w:r w:rsidRPr="005B3B05">
        <w:rPr>
          <w:rStyle w:val="FootnoteReference"/>
          <w:sz w:val="16"/>
          <w:szCs w:val="16"/>
        </w:rPr>
        <w:footnoteRef/>
      </w:r>
      <w:r w:rsidRPr="005B3B05">
        <w:rPr>
          <w:sz w:val="16"/>
          <w:szCs w:val="16"/>
        </w:rPr>
        <w:t xml:space="preserve"> </w:t>
      </w:r>
      <w:r w:rsidRPr="005B3B05">
        <w:rPr>
          <w:sz w:val="16"/>
          <w:szCs w:val="16"/>
          <w:lang w:val="en-GB"/>
        </w:rPr>
        <w:t>DIRECTIVE 2011/61/EU OF THE EUROPEAN PARLIAMENT AND OF THE COUNCIL of 8 June 2011 on Alternative Investment Fund Managers and amending regulations 2003/41/EC and 2009/65/EC and the regulations (EC) No. 1060/2009 and (EU) No. 1095/2010</w:t>
      </w:r>
      <w:r w:rsidR="00697071" w:rsidRPr="005B3B05">
        <w:rPr>
          <w:sz w:val="16"/>
          <w:szCs w:val="16"/>
          <w:lang w:val="en-GB"/>
        </w:rPr>
        <w:t xml:space="preserve">, </w:t>
      </w:r>
      <w:hyperlink r:id="rId3" w:history="1">
        <w:r w:rsidR="00967998" w:rsidRPr="005B3B05">
          <w:rPr>
            <w:rStyle w:val="Hyperlink"/>
            <w:sz w:val="16"/>
            <w:szCs w:val="16"/>
          </w:rPr>
          <w:t>L_2011174EN.01000101.xml</w:t>
        </w:r>
      </w:hyperlink>
    </w:p>
  </w:footnote>
  <w:footnote w:id="6">
    <w:p w14:paraId="05353642" w14:textId="239FB225" w:rsidR="002C00AC" w:rsidRPr="001D6E7D" w:rsidRDefault="002C00AC" w:rsidP="002C00AC">
      <w:pPr>
        <w:pStyle w:val="FootnoteText"/>
        <w:rPr>
          <w:sz w:val="16"/>
          <w:szCs w:val="16"/>
        </w:rPr>
      </w:pPr>
      <w:r w:rsidRPr="003E392C">
        <w:rPr>
          <w:rStyle w:val="FootnoteReference"/>
          <w:rFonts w:eastAsiaTheme="majorEastAsia"/>
          <w:sz w:val="16"/>
          <w:szCs w:val="16"/>
        </w:rPr>
        <w:footnoteRef/>
      </w:r>
      <w:r w:rsidRPr="001D6E7D">
        <w:rPr>
          <w:sz w:val="16"/>
          <w:szCs w:val="16"/>
        </w:rPr>
        <w:t xml:space="preserve"> </w:t>
      </w:r>
      <w:hyperlink r:id="rId4" w:history="1">
        <w:r w:rsidRPr="001D6E7D">
          <w:rPr>
            <w:rStyle w:val="Hyperlink"/>
            <w:sz w:val="16"/>
            <w:szCs w:val="16"/>
            <w:lang w:val="en-US"/>
          </w:rPr>
          <w:t>Invest Europe, Research methodology and definitions</w:t>
        </w:r>
      </w:hyperlink>
      <w:r w:rsidRPr="001D6E7D">
        <w:rPr>
          <w:sz w:val="16"/>
          <w:szCs w:val="16"/>
        </w:rPr>
        <w:t xml:space="preserve"> </w:t>
      </w:r>
    </w:p>
  </w:footnote>
  <w:footnote w:id="7">
    <w:p w14:paraId="72309F62" w14:textId="52094A6A" w:rsidR="002A36A6" w:rsidRPr="001D6E7D" w:rsidRDefault="002A36A6" w:rsidP="002A36A6">
      <w:pPr>
        <w:pStyle w:val="FootnoteText"/>
        <w:rPr>
          <w:sz w:val="16"/>
          <w:szCs w:val="16"/>
        </w:rPr>
      </w:pPr>
      <w:r w:rsidRPr="001D6E7D">
        <w:rPr>
          <w:rStyle w:val="FootnoteReference"/>
          <w:rFonts w:eastAsiaTheme="majorEastAsia"/>
          <w:sz w:val="16"/>
          <w:szCs w:val="16"/>
        </w:rPr>
        <w:footnoteRef/>
      </w:r>
      <w:r w:rsidRPr="001D6E7D">
        <w:rPr>
          <w:sz w:val="16"/>
          <w:szCs w:val="16"/>
        </w:rPr>
        <w:t xml:space="preserve"> </w:t>
      </w:r>
      <w:hyperlink r:id="rId5" w:history="1">
        <w:r w:rsidRPr="001D6E7D">
          <w:rPr>
            <w:rStyle w:val="Hyperlink"/>
            <w:sz w:val="16"/>
            <w:szCs w:val="16"/>
            <w:lang w:val="en-GB"/>
          </w:rPr>
          <w:t>The list of ineligible activities is published in the General Eligibility Criteria for Equity and Quasi-Equity Funding Instruments</w:t>
        </w:r>
      </w:hyperlink>
    </w:p>
  </w:footnote>
  <w:footnote w:id="8">
    <w:p w14:paraId="4E5F71FB" w14:textId="4978943B" w:rsidR="002A36A6" w:rsidRPr="00D84A75" w:rsidRDefault="002A36A6" w:rsidP="002A36A6">
      <w:pPr>
        <w:pStyle w:val="FootnoteText"/>
        <w:rPr>
          <w:sz w:val="16"/>
          <w:szCs w:val="16"/>
          <w:lang w:val="en-GB"/>
        </w:rPr>
      </w:pPr>
      <w:r w:rsidRPr="001D6E7D">
        <w:rPr>
          <w:rStyle w:val="FootnoteReference"/>
          <w:rFonts w:eastAsiaTheme="majorEastAsia"/>
          <w:sz w:val="16"/>
          <w:szCs w:val="16"/>
        </w:rPr>
        <w:footnoteRef/>
      </w:r>
      <w:r w:rsidRPr="001D6E7D">
        <w:rPr>
          <w:sz w:val="16"/>
          <w:szCs w:val="16"/>
        </w:rPr>
        <w:t xml:space="preserve"> </w:t>
      </w:r>
      <w:r w:rsidRPr="001D6E7D">
        <w:rPr>
          <w:sz w:val="16"/>
          <w:szCs w:val="16"/>
          <w:lang w:val="en-GB"/>
        </w:rPr>
        <w:t>Commission Regulation (EU) No. 651/2014 of 17 June 2014 declaring certain categories of aid compatible with the internal market in application of Articles 107 and 108 of the Treaty (OJ L 187 of 26 June 2014), or in accordance with the provisions of the regulation governing this issue, which will be in force at the time of contracting of HBOR's commitment of payment</w:t>
      </w:r>
      <w:r w:rsidR="006C67EC" w:rsidRPr="001D6E7D">
        <w:rPr>
          <w:sz w:val="16"/>
          <w:szCs w:val="16"/>
          <w:lang w:val="en-GB"/>
        </w:rPr>
        <w:t xml:space="preserve">, </w:t>
      </w:r>
      <w:hyperlink r:id="rId6" w:history="1">
        <w:proofErr w:type="spellStart"/>
        <w:r w:rsidR="006C67EC" w:rsidRPr="001D6E7D">
          <w:rPr>
            <w:rStyle w:val="Hyperlink"/>
            <w:sz w:val="16"/>
            <w:szCs w:val="16"/>
          </w:rPr>
          <w:t>Regulation</w:t>
        </w:r>
        <w:proofErr w:type="spellEnd"/>
        <w:r w:rsidR="006C67EC" w:rsidRPr="001D6E7D">
          <w:rPr>
            <w:rStyle w:val="Hyperlink"/>
            <w:sz w:val="16"/>
            <w:szCs w:val="16"/>
          </w:rPr>
          <w:t xml:space="preserve"> - 651/2014 - EN - General </w:t>
        </w:r>
        <w:proofErr w:type="spellStart"/>
        <w:r w:rsidR="006C67EC" w:rsidRPr="001D6E7D">
          <w:rPr>
            <w:rStyle w:val="Hyperlink"/>
            <w:sz w:val="16"/>
            <w:szCs w:val="16"/>
          </w:rPr>
          <w:t>Block</w:t>
        </w:r>
        <w:proofErr w:type="spellEnd"/>
        <w:r w:rsidR="006C67EC" w:rsidRPr="001D6E7D">
          <w:rPr>
            <w:rStyle w:val="Hyperlink"/>
            <w:sz w:val="16"/>
            <w:szCs w:val="16"/>
          </w:rPr>
          <w:t xml:space="preserve"> </w:t>
        </w:r>
        <w:proofErr w:type="spellStart"/>
        <w:r w:rsidR="006C67EC" w:rsidRPr="001D6E7D">
          <w:rPr>
            <w:rStyle w:val="Hyperlink"/>
            <w:sz w:val="16"/>
            <w:szCs w:val="16"/>
          </w:rPr>
          <w:t>Exemption</w:t>
        </w:r>
        <w:proofErr w:type="spellEnd"/>
        <w:r w:rsidR="006C67EC" w:rsidRPr="001D6E7D">
          <w:rPr>
            <w:rStyle w:val="Hyperlink"/>
            <w:sz w:val="16"/>
            <w:szCs w:val="16"/>
          </w:rPr>
          <w:t xml:space="preserve"> </w:t>
        </w:r>
        <w:proofErr w:type="spellStart"/>
        <w:r w:rsidR="006C67EC" w:rsidRPr="001D6E7D">
          <w:rPr>
            <w:rStyle w:val="Hyperlink"/>
            <w:sz w:val="16"/>
            <w:szCs w:val="16"/>
          </w:rPr>
          <w:t>Regulation</w:t>
        </w:r>
        <w:proofErr w:type="spellEnd"/>
        <w:r w:rsidR="006C67EC" w:rsidRPr="001D6E7D">
          <w:rPr>
            <w:rStyle w:val="Hyperlink"/>
            <w:sz w:val="16"/>
            <w:szCs w:val="16"/>
          </w:rPr>
          <w:t xml:space="preserve"> - EUR-</w:t>
        </w:r>
        <w:proofErr w:type="spellStart"/>
        <w:r w:rsidR="006C67EC" w:rsidRPr="001D6E7D">
          <w:rPr>
            <w:rStyle w:val="Hyperlink"/>
            <w:sz w:val="16"/>
            <w:szCs w:val="16"/>
          </w:rPr>
          <w:t>Lex</w:t>
        </w:r>
        <w:proofErr w:type="spellEnd"/>
      </w:hyperlink>
    </w:p>
  </w:footnote>
  <w:footnote w:id="9">
    <w:p w14:paraId="586D4B1B" w14:textId="5759CF39" w:rsidR="002D5691" w:rsidRDefault="002D5691">
      <w:pPr>
        <w:pStyle w:val="FootnoteText"/>
      </w:pPr>
      <w:r>
        <w:rPr>
          <w:rStyle w:val="FootnoteReference"/>
        </w:rPr>
        <w:footnoteRef/>
      </w:r>
      <w:r>
        <w:t xml:space="preserve"> </w:t>
      </w:r>
      <w:hyperlink r:id="rId7" w:history="1">
        <w:r w:rsidRPr="002D5691">
          <w:rPr>
            <w:rStyle w:val="Hyperlink"/>
            <w:sz w:val="16"/>
            <w:szCs w:val="16"/>
          </w:rPr>
          <w:t>POLICY FOR INVESTMENTS INTO EQUITY AND QUASI-EQUITY | HBOR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238" w14:textId="7398ABAC" w:rsidR="008A020C" w:rsidRDefault="008E52CF">
    <w:pPr>
      <w:pStyle w:val="Header"/>
    </w:pPr>
    <w:r>
      <w:rPr>
        <w:rStyle w:val="wacimagecontainer"/>
        <w:rFonts w:ascii="Segoe UI" w:hAnsi="Segoe UI" w:cs="Segoe UI"/>
        <w:noProof/>
        <w:color w:val="000000"/>
        <w:sz w:val="18"/>
        <w:szCs w:val="18"/>
        <w:shd w:val="clear" w:color="auto" w:fill="FFFFFF"/>
      </w:rPr>
      <w:drawing>
        <wp:inline distT="0" distB="0" distL="0" distR="0" wp14:anchorId="42FEDF51" wp14:editId="46CA0DC0">
          <wp:extent cx="1526876" cy="478573"/>
          <wp:effectExtent l="0" t="0" r="0" b="0"/>
          <wp:docPr id="1332473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62" cy="483176"/>
                  </a:xfrm>
                  <a:prstGeom prst="rect">
                    <a:avLst/>
                  </a:prstGeom>
                  <a:noFill/>
                  <a:ln>
                    <a:noFill/>
                  </a:ln>
                </pic:spPr>
              </pic:pic>
            </a:graphicData>
          </a:graphic>
        </wp:inline>
      </w:drawing>
    </w:r>
  </w:p>
  <w:p w14:paraId="1B7FD458" w14:textId="77777777" w:rsidR="008E52CF" w:rsidRDefault="008E52CF">
    <w:pPr>
      <w:pStyle w:val="Header"/>
    </w:pPr>
  </w:p>
  <w:p w14:paraId="6F43C4A2" w14:textId="77777777" w:rsidR="008E52CF" w:rsidRDefault="008E5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A297" w14:textId="77777777" w:rsidR="00CE74B1" w:rsidRDefault="00CE74B1" w:rsidP="00EB57A4">
    <w:pPr>
      <w:pStyle w:val="Header"/>
    </w:pPr>
    <w:r>
      <w:rPr>
        <w:rStyle w:val="wacimagecontainer"/>
        <w:rFonts w:ascii="Segoe UI" w:hAnsi="Segoe UI" w:cs="Segoe UI"/>
        <w:noProof/>
        <w:color w:val="000000"/>
        <w:sz w:val="18"/>
        <w:szCs w:val="18"/>
        <w:shd w:val="clear" w:color="auto" w:fill="FFFFFF"/>
      </w:rPr>
      <w:drawing>
        <wp:inline distT="0" distB="0" distL="0" distR="0" wp14:anchorId="17E126F6" wp14:editId="33A0721A">
          <wp:extent cx="1526876" cy="478573"/>
          <wp:effectExtent l="0" t="0" r="0" b="0"/>
          <wp:docPr id="315134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62" cy="483176"/>
                  </a:xfrm>
                  <a:prstGeom prst="rect">
                    <a:avLst/>
                  </a:prstGeom>
                  <a:noFill/>
                  <a:ln>
                    <a:noFill/>
                  </a:ln>
                </pic:spPr>
              </pic:pic>
            </a:graphicData>
          </a:graphic>
        </wp:inline>
      </w:drawing>
    </w:r>
  </w:p>
  <w:p w14:paraId="2B2DD933" w14:textId="77777777" w:rsidR="00CE74B1" w:rsidRDefault="00CE74B1" w:rsidP="00EB57A4">
    <w:pPr>
      <w:pStyle w:val="Header"/>
    </w:pPr>
  </w:p>
  <w:p w14:paraId="5599544B" w14:textId="34513A14" w:rsidR="006372FA" w:rsidRPr="002606D7" w:rsidRDefault="00E81C32" w:rsidP="00EB57A4">
    <w:pPr>
      <w:pStyle w:val="Header"/>
    </w:pPr>
    <w:r w:rsidRPr="002606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68D4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625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93DE0"/>
    <w:multiLevelType w:val="hybridMultilevel"/>
    <w:tmpl w:val="A76411EC"/>
    <w:lvl w:ilvl="0" w:tplc="780E10F8">
      <w:start w:val="1"/>
      <w:numFmt w:val="decimal"/>
      <w:pStyle w:val="Stavci"/>
      <w:lvlText w:val="(%1)"/>
      <w:lvlJc w:val="left"/>
      <w:pPr>
        <w:ind w:left="502" w:hanging="360"/>
      </w:pPr>
      <w:rPr>
        <w:rFonts w:hint="default"/>
        <w:b w:val="0"/>
      </w:rPr>
    </w:lvl>
    <w:lvl w:ilvl="1" w:tplc="C7E8B4AE">
      <w:start w:val="1"/>
      <w:numFmt w:val="lowerRoman"/>
      <w:lvlText w:val="%2)"/>
      <w:lvlJc w:val="left"/>
      <w:pPr>
        <w:ind w:left="1080" w:hanging="360"/>
      </w:pPr>
      <w:rPr>
        <w:rFonts w:hint="default"/>
        <w:b w:val="0"/>
        <w:color w:val="000000"/>
      </w:rPr>
    </w:lvl>
    <w:lvl w:ilvl="2" w:tplc="0409001B">
      <w:start w:val="1"/>
      <w:numFmt w:val="lowerRoman"/>
      <w:lvlText w:val="%3."/>
      <w:lvlJc w:val="right"/>
      <w:pPr>
        <w:ind w:left="1800" w:hanging="180"/>
      </w:pPr>
    </w:lvl>
    <w:lvl w:ilvl="3" w:tplc="07D25D7A">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90B77"/>
    <w:multiLevelType w:val="hybridMultilevel"/>
    <w:tmpl w:val="04E4E9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D4354"/>
    <w:multiLevelType w:val="hybridMultilevel"/>
    <w:tmpl w:val="04E4E9C8"/>
    <w:lvl w:ilvl="0" w:tplc="041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FE6280"/>
    <w:multiLevelType w:val="multilevel"/>
    <w:tmpl w:val="981CF1F6"/>
    <w:lvl w:ilvl="0">
      <w:start w:val="1"/>
      <w:numFmt w:val="lowerRoman"/>
      <w:lvlText w:val="%1."/>
      <w:lvlJc w:val="righ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3DD2F5C"/>
    <w:multiLevelType w:val="multilevel"/>
    <w:tmpl w:val="3B629E0E"/>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EF0224"/>
    <w:multiLevelType w:val="hybridMultilevel"/>
    <w:tmpl w:val="8C24C48A"/>
    <w:lvl w:ilvl="0" w:tplc="041A0017">
      <w:start w:val="1"/>
      <w:numFmt w:val="lowerLetter"/>
      <w:lvlText w:val="%1)"/>
      <w:lvlJc w:val="left"/>
      <w:pPr>
        <w:ind w:left="720" w:hanging="360"/>
      </w:p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C86653"/>
    <w:multiLevelType w:val="hybridMultilevel"/>
    <w:tmpl w:val="23A6EC3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73325B"/>
    <w:multiLevelType w:val="multilevel"/>
    <w:tmpl w:val="40D203F0"/>
    <w:lvl w:ilvl="0">
      <w:start w:val="2"/>
      <w:numFmt w:val="lowerRoman"/>
      <w:lvlText w:val="%1."/>
      <w:lvlJc w:val="righ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75A6839"/>
    <w:multiLevelType w:val="multilevel"/>
    <w:tmpl w:val="3F4A55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0417653"/>
    <w:multiLevelType w:val="hybridMultilevel"/>
    <w:tmpl w:val="100C091A"/>
    <w:lvl w:ilvl="0" w:tplc="041A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4615EC"/>
    <w:multiLevelType w:val="hybridMultilevel"/>
    <w:tmpl w:val="820A2F78"/>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BD7341"/>
    <w:multiLevelType w:val="hybridMultilevel"/>
    <w:tmpl w:val="C54443CC"/>
    <w:lvl w:ilvl="0" w:tplc="CB42624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838E6"/>
    <w:multiLevelType w:val="multilevel"/>
    <w:tmpl w:val="5AF00692"/>
    <w:lvl w:ilvl="0">
      <w:start w:val="1"/>
      <w:numFmt w:val="bullet"/>
      <w:lvlText w:val="o"/>
      <w:lvlJc w:val="left"/>
      <w:pPr>
        <w:tabs>
          <w:tab w:val="num" w:pos="720"/>
        </w:tabs>
        <w:ind w:left="720" w:hanging="360"/>
      </w:pPr>
      <w:rPr>
        <w:rFonts w:ascii="Courier New" w:hAnsi="Courier New" w:cs="Courier New"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98C27E2"/>
    <w:multiLevelType w:val="hybridMultilevel"/>
    <w:tmpl w:val="429480B8"/>
    <w:lvl w:ilvl="0" w:tplc="0C5C7A5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620FDE"/>
    <w:multiLevelType w:val="multilevel"/>
    <w:tmpl w:val="9F0ADF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AF2386"/>
    <w:multiLevelType w:val="multilevel"/>
    <w:tmpl w:val="69C8B7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08447654">
    <w:abstractNumId w:val="6"/>
  </w:num>
  <w:num w:numId="2" w16cid:durableId="86391087">
    <w:abstractNumId w:val="2"/>
  </w:num>
  <w:num w:numId="3" w16cid:durableId="2044011425">
    <w:abstractNumId w:val="7"/>
  </w:num>
  <w:num w:numId="4" w16cid:durableId="950281360">
    <w:abstractNumId w:val="10"/>
  </w:num>
  <w:num w:numId="5" w16cid:durableId="1466268164">
    <w:abstractNumId w:val="16"/>
  </w:num>
  <w:num w:numId="6" w16cid:durableId="1372807028">
    <w:abstractNumId w:val="11"/>
  </w:num>
  <w:num w:numId="7" w16cid:durableId="175967881">
    <w:abstractNumId w:val="17"/>
  </w:num>
  <w:num w:numId="8" w16cid:durableId="778529530">
    <w:abstractNumId w:val="1"/>
  </w:num>
  <w:num w:numId="9" w16cid:durableId="487941766">
    <w:abstractNumId w:val="0"/>
  </w:num>
  <w:num w:numId="10" w16cid:durableId="947588750">
    <w:abstractNumId w:val="4"/>
  </w:num>
  <w:num w:numId="11" w16cid:durableId="196701499">
    <w:abstractNumId w:val="5"/>
  </w:num>
  <w:num w:numId="12" w16cid:durableId="259995321">
    <w:abstractNumId w:val="15"/>
  </w:num>
  <w:num w:numId="13" w16cid:durableId="176620648">
    <w:abstractNumId w:val="14"/>
  </w:num>
  <w:num w:numId="14" w16cid:durableId="1964265628">
    <w:abstractNumId w:val="13"/>
  </w:num>
  <w:num w:numId="15" w16cid:durableId="14500612">
    <w:abstractNumId w:val="9"/>
  </w:num>
  <w:num w:numId="16" w16cid:durableId="224530867">
    <w:abstractNumId w:val="3"/>
  </w:num>
  <w:num w:numId="17" w16cid:durableId="1155876435">
    <w:abstractNumId w:val="8"/>
  </w:num>
  <w:num w:numId="18" w16cid:durableId="33622377">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FA"/>
    <w:rsid w:val="0000069E"/>
    <w:rsid w:val="000008F4"/>
    <w:rsid w:val="00000C33"/>
    <w:rsid w:val="000014D3"/>
    <w:rsid w:val="00002872"/>
    <w:rsid w:val="000028A2"/>
    <w:rsid w:val="00005868"/>
    <w:rsid w:val="000061E2"/>
    <w:rsid w:val="000075AE"/>
    <w:rsid w:val="00007654"/>
    <w:rsid w:val="000102B1"/>
    <w:rsid w:val="000112B8"/>
    <w:rsid w:val="0001194E"/>
    <w:rsid w:val="0001296A"/>
    <w:rsid w:val="00012B0C"/>
    <w:rsid w:val="00013098"/>
    <w:rsid w:val="000139B7"/>
    <w:rsid w:val="0001569C"/>
    <w:rsid w:val="000168D9"/>
    <w:rsid w:val="00016C7D"/>
    <w:rsid w:val="00017E29"/>
    <w:rsid w:val="000204B6"/>
    <w:rsid w:val="00020B13"/>
    <w:rsid w:val="00022061"/>
    <w:rsid w:val="000241A8"/>
    <w:rsid w:val="0002452E"/>
    <w:rsid w:val="000251E4"/>
    <w:rsid w:val="000254F1"/>
    <w:rsid w:val="000255ED"/>
    <w:rsid w:val="00026C75"/>
    <w:rsid w:val="000300BF"/>
    <w:rsid w:val="000303D4"/>
    <w:rsid w:val="000309F7"/>
    <w:rsid w:val="00031136"/>
    <w:rsid w:val="0003321E"/>
    <w:rsid w:val="00033658"/>
    <w:rsid w:val="00033E23"/>
    <w:rsid w:val="00034981"/>
    <w:rsid w:val="00034A47"/>
    <w:rsid w:val="00035231"/>
    <w:rsid w:val="000353EB"/>
    <w:rsid w:val="00035A18"/>
    <w:rsid w:val="00035AEA"/>
    <w:rsid w:val="00036A6C"/>
    <w:rsid w:val="000377B1"/>
    <w:rsid w:val="00037A6A"/>
    <w:rsid w:val="00040AE3"/>
    <w:rsid w:val="00041413"/>
    <w:rsid w:val="0004246F"/>
    <w:rsid w:val="00042D95"/>
    <w:rsid w:val="00043E9B"/>
    <w:rsid w:val="00044BFE"/>
    <w:rsid w:val="0004667C"/>
    <w:rsid w:val="000469FC"/>
    <w:rsid w:val="00047370"/>
    <w:rsid w:val="00047428"/>
    <w:rsid w:val="00050150"/>
    <w:rsid w:val="000505CA"/>
    <w:rsid w:val="00050765"/>
    <w:rsid w:val="00050C6F"/>
    <w:rsid w:val="00051592"/>
    <w:rsid w:val="000515CE"/>
    <w:rsid w:val="00054897"/>
    <w:rsid w:val="00055F09"/>
    <w:rsid w:val="00057644"/>
    <w:rsid w:val="0006079E"/>
    <w:rsid w:val="000609A3"/>
    <w:rsid w:val="00060DE4"/>
    <w:rsid w:val="0006184A"/>
    <w:rsid w:val="00061C5B"/>
    <w:rsid w:val="00061FE3"/>
    <w:rsid w:val="00062CD5"/>
    <w:rsid w:val="00063D3C"/>
    <w:rsid w:val="00064ECA"/>
    <w:rsid w:val="000669C4"/>
    <w:rsid w:val="00067BEA"/>
    <w:rsid w:val="00067E9E"/>
    <w:rsid w:val="000702A7"/>
    <w:rsid w:val="000702BB"/>
    <w:rsid w:val="000702CB"/>
    <w:rsid w:val="00072022"/>
    <w:rsid w:val="00072B1B"/>
    <w:rsid w:val="0007311A"/>
    <w:rsid w:val="00074CCE"/>
    <w:rsid w:val="000752DA"/>
    <w:rsid w:val="00075478"/>
    <w:rsid w:val="00075D2D"/>
    <w:rsid w:val="0007638C"/>
    <w:rsid w:val="00076907"/>
    <w:rsid w:val="00077FCF"/>
    <w:rsid w:val="000808A1"/>
    <w:rsid w:val="00080F76"/>
    <w:rsid w:val="000823FD"/>
    <w:rsid w:val="00082BAE"/>
    <w:rsid w:val="00082C62"/>
    <w:rsid w:val="00083BDB"/>
    <w:rsid w:val="00084324"/>
    <w:rsid w:val="00084F46"/>
    <w:rsid w:val="000867D5"/>
    <w:rsid w:val="00086845"/>
    <w:rsid w:val="00086D58"/>
    <w:rsid w:val="00087167"/>
    <w:rsid w:val="00091229"/>
    <w:rsid w:val="00094486"/>
    <w:rsid w:val="000945C5"/>
    <w:rsid w:val="00095019"/>
    <w:rsid w:val="000960E5"/>
    <w:rsid w:val="00096CA8"/>
    <w:rsid w:val="000971CD"/>
    <w:rsid w:val="000974E2"/>
    <w:rsid w:val="000A0B06"/>
    <w:rsid w:val="000A25B1"/>
    <w:rsid w:val="000A3308"/>
    <w:rsid w:val="000A3792"/>
    <w:rsid w:val="000A3FB0"/>
    <w:rsid w:val="000A417E"/>
    <w:rsid w:val="000A4925"/>
    <w:rsid w:val="000A50DD"/>
    <w:rsid w:val="000A5637"/>
    <w:rsid w:val="000A6374"/>
    <w:rsid w:val="000A6F41"/>
    <w:rsid w:val="000A7548"/>
    <w:rsid w:val="000A79D3"/>
    <w:rsid w:val="000B0FF5"/>
    <w:rsid w:val="000B23C4"/>
    <w:rsid w:val="000B316C"/>
    <w:rsid w:val="000B3E3B"/>
    <w:rsid w:val="000B46EC"/>
    <w:rsid w:val="000B54A7"/>
    <w:rsid w:val="000B604F"/>
    <w:rsid w:val="000B608E"/>
    <w:rsid w:val="000B69D7"/>
    <w:rsid w:val="000C1456"/>
    <w:rsid w:val="000C177A"/>
    <w:rsid w:val="000C1A46"/>
    <w:rsid w:val="000C2719"/>
    <w:rsid w:val="000C4824"/>
    <w:rsid w:val="000C5CEF"/>
    <w:rsid w:val="000C63C7"/>
    <w:rsid w:val="000C6EB5"/>
    <w:rsid w:val="000C7010"/>
    <w:rsid w:val="000D15C5"/>
    <w:rsid w:val="000D1668"/>
    <w:rsid w:val="000D2386"/>
    <w:rsid w:val="000D263E"/>
    <w:rsid w:val="000D2778"/>
    <w:rsid w:val="000D3A15"/>
    <w:rsid w:val="000D3BF0"/>
    <w:rsid w:val="000D4413"/>
    <w:rsid w:val="000D4430"/>
    <w:rsid w:val="000D4A81"/>
    <w:rsid w:val="000D5A84"/>
    <w:rsid w:val="000D6E8E"/>
    <w:rsid w:val="000E0C3B"/>
    <w:rsid w:val="000E18C8"/>
    <w:rsid w:val="000E1FD1"/>
    <w:rsid w:val="000E2F40"/>
    <w:rsid w:val="000E450E"/>
    <w:rsid w:val="000E5C39"/>
    <w:rsid w:val="000E7704"/>
    <w:rsid w:val="000F0DC5"/>
    <w:rsid w:val="000F131C"/>
    <w:rsid w:val="000F1AE5"/>
    <w:rsid w:val="000F1CAB"/>
    <w:rsid w:val="000F2EC4"/>
    <w:rsid w:val="000F3542"/>
    <w:rsid w:val="000F3A65"/>
    <w:rsid w:val="000F43A0"/>
    <w:rsid w:val="000F45CC"/>
    <w:rsid w:val="000F70B8"/>
    <w:rsid w:val="0010006F"/>
    <w:rsid w:val="00103392"/>
    <w:rsid w:val="001038C0"/>
    <w:rsid w:val="00103A75"/>
    <w:rsid w:val="0010597C"/>
    <w:rsid w:val="0010687D"/>
    <w:rsid w:val="00107142"/>
    <w:rsid w:val="0011021B"/>
    <w:rsid w:val="00111A71"/>
    <w:rsid w:val="00111BFE"/>
    <w:rsid w:val="00111CD2"/>
    <w:rsid w:val="00111E41"/>
    <w:rsid w:val="001130C6"/>
    <w:rsid w:val="00113361"/>
    <w:rsid w:val="00115021"/>
    <w:rsid w:val="00115404"/>
    <w:rsid w:val="00117303"/>
    <w:rsid w:val="00117436"/>
    <w:rsid w:val="00117499"/>
    <w:rsid w:val="00117C40"/>
    <w:rsid w:val="00121D4E"/>
    <w:rsid w:val="00122EA1"/>
    <w:rsid w:val="00124828"/>
    <w:rsid w:val="00125DB1"/>
    <w:rsid w:val="001261A3"/>
    <w:rsid w:val="0012645D"/>
    <w:rsid w:val="001268EB"/>
    <w:rsid w:val="00126D0C"/>
    <w:rsid w:val="00127C74"/>
    <w:rsid w:val="00130DCF"/>
    <w:rsid w:val="00131DBF"/>
    <w:rsid w:val="00132B29"/>
    <w:rsid w:val="00133A18"/>
    <w:rsid w:val="001342E8"/>
    <w:rsid w:val="00134422"/>
    <w:rsid w:val="00134CA8"/>
    <w:rsid w:val="001350D2"/>
    <w:rsid w:val="001353C9"/>
    <w:rsid w:val="00136362"/>
    <w:rsid w:val="00136A49"/>
    <w:rsid w:val="00137124"/>
    <w:rsid w:val="0013773C"/>
    <w:rsid w:val="0013779C"/>
    <w:rsid w:val="001407B7"/>
    <w:rsid w:val="00140B81"/>
    <w:rsid w:val="00141936"/>
    <w:rsid w:val="00144AA7"/>
    <w:rsid w:val="00144EFD"/>
    <w:rsid w:val="00146820"/>
    <w:rsid w:val="00146BAA"/>
    <w:rsid w:val="00146EFC"/>
    <w:rsid w:val="0014769D"/>
    <w:rsid w:val="00147950"/>
    <w:rsid w:val="00151CD7"/>
    <w:rsid w:val="00152691"/>
    <w:rsid w:val="00152C98"/>
    <w:rsid w:val="001551A6"/>
    <w:rsid w:val="00155C02"/>
    <w:rsid w:val="001569F7"/>
    <w:rsid w:val="001570C5"/>
    <w:rsid w:val="0016042A"/>
    <w:rsid w:val="00160692"/>
    <w:rsid w:val="0016102F"/>
    <w:rsid w:val="0016187B"/>
    <w:rsid w:val="00162AE0"/>
    <w:rsid w:val="001635C8"/>
    <w:rsid w:val="00163F86"/>
    <w:rsid w:val="00164506"/>
    <w:rsid w:val="001646B8"/>
    <w:rsid w:val="0016561B"/>
    <w:rsid w:val="0016660F"/>
    <w:rsid w:val="00166627"/>
    <w:rsid w:val="0016682B"/>
    <w:rsid w:val="00166884"/>
    <w:rsid w:val="001672DE"/>
    <w:rsid w:val="00167DFD"/>
    <w:rsid w:val="001702FF"/>
    <w:rsid w:val="001703C7"/>
    <w:rsid w:val="0017596F"/>
    <w:rsid w:val="00175BA2"/>
    <w:rsid w:val="0017685A"/>
    <w:rsid w:val="00177359"/>
    <w:rsid w:val="001778A4"/>
    <w:rsid w:val="001778D6"/>
    <w:rsid w:val="00177CC5"/>
    <w:rsid w:val="00180978"/>
    <w:rsid w:val="0018098C"/>
    <w:rsid w:val="001815CE"/>
    <w:rsid w:val="00181670"/>
    <w:rsid w:val="001821F8"/>
    <w:rsid w:val="00182377"/>
    <w:rsid w:val="00182F75"/>
    <w:rsid w:val="00183371"/>
    <w:rsid w:val="00184A87"/>
    <w:rsid w:val="001857AE"/>
    <w:rsid w:val="00185DB7"/>
    <w:rsid w:val="00186160"/>
    <w:rsid w:val="001868C4"/>
    <w:rsid w:val="00190FE5"/>
    <w:rsid w:val="00191BC4"/>
    <w:rsid w:val="00192AF0"/>
    <w:rsid w:val="001941B2"/>
    <w:rsid w:val="001947DC"/>
    <w:rsid w:val="00194F30"/>
    <w:rsid w:val="001955C2"/>
    <w:rsid w:val="00197381"/>
    <w:rsid w:val="001A0F13"/>
    <w:rsid w:val="001A26A1"/>
    <w:rsid w:val="001A2B08"/>
    <w:rsid w:val="001A4640"/>
    <w:rsid w:val="001A4D63"/>
    <w:rsid w:val="001A5117"/>
    <w:rsid w:val="001A5205"/>
    <w:rsid w:val="001A52A7"/>
    <w:rsid w:val="001A57CC"/>
    <w:rsid w:val="001A5EC0"/>
    <w:rsid w:val="001A7AE4"/>
    <w:rsid w:val="001A7C25"/>
    <w:rsid w:val="001B06D5"/>
    <w:rsid w:val="001B0FE1"/>
    <w:rsid w:val="001B18A0"/>
    <w:rsid w:val="001B4117"/>
    <w:rsid w:val="001B4291"/>
    <w:rsid w:val="001B4407"/>
    <w:rsid w:val="001B5C4F"/>
    <w:rsid w:val="001B6394"/>
    <w:rsid w:val="001B63C6"/>
    <w:rsid w:val="001B6905"/>
    <w:rsid w:val="001B6959"/>
    <w:rsid w:val="001B7060"/>
    <w:rsid w:val="001C17A6"/>
    <w:rsid w:val="001C3D1B"/>
    <w:rsid w:val="001C4069"/>
    <w:rsid w:val="001C5AF2"/>
    <w:rsid w:val="001D0348"/>
    <w:rsid w:val="001D0AA5"/>
    <w:rsid w:val="001D1444"/>
    <w:rsid w:val="001D268C"/>
    <w:rsid w:val="001D348A"/>
    <w:rsid w:val="001D3D1A"/>
    <w:rsid w:val="001D3E67"/>
    <w:rsid w:val="001D3E9D"/>
    <w:rsid w:val="001D4367"/>
    <w:rsid w:val="001D4E4E"/>
    <w:rsid w:val="001D5410"/>
    <w:rsid w:val="001D5AD7"/>
    <w:rsid w:val="001D6643"/>
    <w:rsid w:val="001D6E7D"/>
    <w:rsid w:val="001D77D0"/>
    <w:rsid w:val="001E0795"/>
    <w:rsid w:val="001E09D1"/>
    <w:rsid w:val="001E260E"/>
    <w:rsid w:val="001E2644"/>
    <w:rsid w:val="001E3174"/>
    <w:rsid w:val="001E33D3"/>
    <w:rsid w:val="001E4773"/>
    <w:rsid w:val="001E6874"/>
    <w:rsid w:val="001E69DE"/>
    <w:rsid w:val="001E7EE8"/>
    <w:rsid w:val="001F0C57"/>
    <w:rsid w:val="001F0C75"/>
    <w:rsid w:val="001F11E7"/>
    <w:rsid w:val="001F4333"/>
    <w:rsid w:val="001F4840"/>
    <w:rsid w:val="001F5DBA"/>
    <w:rsid w:val="001F5F77"/>
    <w:rsid w:val="001F6312"/>
    <w:rsid w:val="001F6431"/>
    <w:rsid w:val="001F64B0"/>
    <w:rsid w:val="001F6789"/>
    <w:rsid w:val="001F7469"/>
    <w:rsid w:val="001F74D7"/>
    <w:rsid w:val="00200C4F"/>
    <w:rsid w:val="0020100C"/>
    <w:rsid w:val="00202979"/>
    <w:rsid w:val="00202BFB"/>
    <w:rsid w:val="0020341E"/>
    <w:rsid w:val="002035BF"/>
    <w:rsid w:val="00204E0B"/>
    <w:rsid w:val="00205F8D"/>
    <w:rsid w:val="00206AC6"/>
    <w:rsid w:val="00207B46"/>
    <w:rsid w:val="00212322"/>
    <w:rsid w:val="00212CDA"/>
    <w:rsid w:val="00212D11"/>
    <w:rsid w:val="00212DA6"/>
    <w:rsid w:val="0021300B"/>
    <w:rsid w:val="002150FF"/>
    <w:rsid w:val="002175FE"/>
    <w:rsid w:val="00221103"/>
    <w:rsid w:val="00221A00"/>
    <w:rsid w:val="00221E20"/>
    <w:rsid w:val="002226D4"/>
    <w:rsid w:val="002227F6"/>
    <w:rsid w:val="00222D61"/>
    <w:rsid w:val="00223F43"/>
    <w:rsid w:val="00224D97"/>
    <w:rsid w:val="00225FE4"/>
    <w:rsid w:val="002263AE"/>
    <w:rsid w:val="00226475"/>
    <w:rsid w:val="002264E0"/>
    <w:rsid w:val="002304D6"/>
    <w:rsid w:val="0023070B"/>
    <w:rsid w:val="00231FE7"/>
    <w:rsid w:val="002325A7"/>
    <w:rsid w:val="00232FD6"/>
    <w:rsid w:val="002334E9"/>
    <w:rsid w:val="002337B7"/>
    <w:rsid w:val="00233B75"/>
    <w:rsid w:val="00233C29"/>
    <w:rsid w:val="00234E7F"/>
    <w:rsid w:val="00234FCD"/>
    <w:rsid w:val="00235200"/>
    <w:rsid w:val="002358C7"/>
    <w:rsid w:val="002369C8"/>
    <w:rsid w:val="0023748E"/>
    <w:rsid w:val="00237740"/>
    <w:rsid w:val="00237BBA"/>
    <w:rsid w:val="00237D4F"/>
    <w:rsid w:val="00237D90"/>
    <w:rsid w:val="00240CAA"/>
    <w:rsid w:val="002422A7"/>
    <w:rsid w:val="00242A65"/>
    <w:rsid w:val="00243599"/>
    <w:rsid w:val="0024379D"/>
    <w:rsid w:val="00243994"/>
    <w:rsid w:val="00243D0C"/>
    <w:rsid w:val="00244C53"/>
    <w:rsid w:val="0024506A"/>
    <w:rsid w:val="00247155"/>
    <w:rsid w:val="00247358"/>
    <w:rsid w:val="00247831"/>
    <w:rsid w:val="00250AC9"/>
    <w:rsid w:val="00251538"/>
    <w:rsid w:val="002520C9"/>
    <w:rsid w:val="00252240"/>
    <w:rsid w:val="0025334A"/>
    <w:rsid w:val="00254777"/>
    <w:rsid w:val="00255EB0"/>
    <w:rsid w:val="002565BC"/>
    <w:rsid w:val="00256694"/>
    <w:rsid w:val="00256ED4"/>
    <w:rsid w:val="002578FF"/>
    <w:rsid w:val="002606D7"/>
    <w:rsid w:val="0026195C"/>
    <w:rsid w:val="00262270"/>
    <w:rsid w:val="00262634"/>
    <w:rsid w:val="00264672"/>
    <w:rsid w:val="00266A92"/>
    <w:rsid w:val="00266ACD"/>
    <w:rsid w:val="00267747"/>
    <w:rsid w:val="00270A33"/>
    <w:rsid w:val="00270C33"/>
    <w:rsid w:val="00272978"/>
    <w:rsid w:val="00273587"/>
    <w:rsid w:val="0027369C"/>
    <w:rsid w:val="00273CBD"/>
    <w:rsid w:val="00275051"/>
    <w:rsid w:val="002757BA"/>
    <w:rsid w:val="0027625E"/>
    <w:rsid w:val="00276FE1"/>
    <w:rsid w:val="002777B9"/>
    <w:rsid w:val="00280BDF"/>
    <w:rsid w:val="00280DDF"/>
    <w:rsid w:val="00281394"/>
    <w:rsid w:val="002815BD"/>
    <w:rsid w:val="002819BE"/>
    <w:rsid w:val="00281EE8"/>
    <w:rsid w:val="00283247"/>
    <w:rsid w:val="00284B28"/>
    <w:rsid w:val="00285DFB"/>
    <w:rsid w:val="002866DE"/>
    <w:rsid w:val="00286D73"/>
    <w:rsid w:val="0028725B"/>
    <w:rsid w:val="0029046A"/>
    <w:rsid w:val="00290B8B"/>
    <w:rsid w:val="00292BAB"/>
    <w:rsid w:val="002933C5"/>
    <w:rsid w:val="0029403B"/>
    <w:rsid w:val="002957E3"/>
    <w:rsid w:val="00295BC9"/>
    <w:rsid w:val="002A026E"/>
    <w:rsid w:val="002A10D4"/>
    <w:rsid w:val="002A3119"/>
    <w:rsid w:val="002A36A6"/>
    <w:rsid w:val="002A3770"/>
    <w:rsid w:val="002A4989"/>
    <w:rsid w:val="002A4BD7"/>
    <w:rsid w:val="002A59FE"/>
    <w:rsid w:val="002A5EC4"/>
    <w:rsid w:val="002A7060"/>
    <w:rsid w:val="002A7B65"/>
    <w:rsid w:val="002A7DAC"/>
    <w:rsid w:val="002B0445"/>
    <w:rsid w:val="002B10A3"/>
    <w:rsid w:val="002B31A8"/>
    <w:rsid w:val="002B32CF"/>
    <w:rsid w:val="002B3B7C"/>
    <w:rsid w:val="002B3BBC"/>
    <w:rsid w:val="002B3FCB"/>
    <w:rsid w:val="002B4AE1"/>
    <w:rsid w:val="002B59D3"/>
    <w:rsid w:val="002B653D"/>
    <w:rsid w:val="002B6577"/>
    <w:rsid w:val="002C00AC"/>
    <w:rsid w:val="002C0C45"/>
    <w:rsid w:val="002C0FA6"/>
    <w:rsid w:val="002C1BD7"/>
    <w:rsid w:val="002C1CEC"/>
    <w:rsid w:val="002C1E77"/>
    <w:rsid w:val="002C2F5A"/>
    <w:rsid w:val="002C353E"/>
    <w:rsid w:val="002C3C9A"/>
    <w:rsid w:val="002C4449"/>
    <w:rsid w:val="002C51CE"/>
    <w:rsid w:val="002C5620"/>
    <w:rsid w:val="002C5EB0"/>
    <w:rsid w:val="002C63E0"/>
    <w:rsid w:val="002C6866"/>
    <w:rsid w:val="002C790A"/>
    <w:rsid w:val="002D06D1"/>
    <w:rsid w:val="002D2B7D"/>
    <w:rsid w:val="002D2F30"/>
    <w:rsid w:val="002D3BC0"/>
    <w:rsid w:val="002D4108"/>
    <w:rsid w:val="002D41EB"/>
    <w:rsid w:val="002D4DE8"/>
    <w:rsid w:val="002D5691"/>
    <w:rsid w:val="002D5A32"/>
    <w:rsid w:val="002D5CD3"/>
    <w:rsid w:val="002D5EEE"/>
    <w:rsid w:val="002D6C9F"/>
    <w:rsid w:val="002D70CE"/>
    <w:rsid w:val="002E052C"/>
    <w:rsid w:val="002E0B22"/>
    <w:rsid w:val="002E0BD5"/>
    <w:rsid w:val="002E0EB8"/>
    <w:rsid w:val="002E17CF"/>
    <w:rsid w:val="002E2082"/>
    <w:rsid w:val="002E26F1"/>
    <w:rsid w:val="002E3CF1"/>
    <w:rsid w:val="002E4A2B"/>
    <w:rsid w:val="002E5D43"/>
    <w:rsid w:val="002E5FA7"/>
    <w:rsid w:val="002E6BD1"/>
    <w:rsid w:val="002F01D0"/>
    <w:rsid w:val="002F0CD2"/>
    <w:rsid w:val="002F10E7"/>
    <w:rsid w:val="002F17EF"/>
    <w:rsid w:val="002F1B7B"/>
    <w:rsid w:val="002F1C96"/>
    <w:rsid w:val="002F21BC"/>
    <w:rsid w:val="002F2C74"/>
    <w:rsid w:val="002F2D4E"/>
    <w:rsid w:val="002F540B"/>
    <w:rsid w:val="002F5587"/>
    <w:rsid w:val="002F55FB"/>
    <w:rsid w:val="002F6722"/>
    <w:rsid w:val="002F6D72"/>
    <w:rsid w:val="002F6F82"/>
    <w:rsid w:val="003007D8"/>
    <w:rsid w:val="00300EF9"/>
    <w:rsid w:val="00302118"/>
    <w:rsid w:val="00302B50"/>
    <w:rsid w:val="00303F15"/>
    <w:rsid w:val="0030557B"/>
    <w:rsid w:val="00305823"/>
    <w:rsid w:val="003058F8"/>
    <w:rsid w:val="003059A1"/>
    <w:rsid w:val="003068D6"/>
    <w:rsid w:val="003075D9"/>
    <w:rsid w:val="00307F23"/>
    <w:rsid w:val="00307FF1"/>
    <w:rsid w:val="00310DEC"/>
    <w:rsid w:val="0031207F"/>
    <w:rsid w:val="0031234D"/>
    <w:rsid w:val="003123FD"/>
    <w:rsid w:val="0031250D"/>
    <w:rsid w:val="00313D0C"/>
    <w:rsid w:val="00314E17"/>
    <w:rsid w:val="003161A5"/>
    <w:rsid w:val="00321074"/>
    <w:rsid w:val="0032188F"/>
    <w:rsid w:val="00321B1D"/>
    <w:rsid w:val="00321BA0"/>
    <w:rsid w:val="0032202B"/>
    <w:rsid w:val="00324058"/>
    <w:rsid w:val="003267EC"/>
    <w:rsid w:val="003268E5"/>
    <w:rsid w:val="00326E64"/>
    <w:rsid w:val="00327226"/>
    <w:rsid w:val="00327841"/>
    <w:rsid w:val="00327B9E"/>
    <w:rsid w:val="00327CDE"/>
    <w:rsid w:val="0033005B"/>
    <w:rsid w:val="00331456"/>
    <w:rsid w:val="0033289A"/>
    <w:rsid w:val="003328C5"/>
    <w:rsid w:val="0033311E"/>
    <w:rsid w:val="00334467"/>
    <w:rsid w:val="00334612"/>
    <w:rsid w:val="003350AE"/>
    <w:rsid w:val="003350FF"/>
    <w:rsid w:val="003361E5"/>
    <w:rsid w:val="00336399"/>
    <w:rsid w:val="00336890"/>
    <w:rsid w:val="00340769"/>
    <w:rsid w:val="00340AA6"/>
    <w:rsid w:val="00341333"/>
    <w:rsid w:val="00342012"/>
    <w:rsid w:val="00342C4C"/>
    <w:rsid w:val="00343D6B"/>
    <w:rsid w:val="00344FC1"/>
    <w:rsid w:val="003461D4"/>
    <w:rsid w:val="003462E0"/>
    <w:rsid w:val="00346B28"/>
    <w:rsid w:val="00346EB5"/>
    <w:rsid w:val="003474DC"/>
    <w:rsid w:val="0034768B"/>
    <w:rsid w:val="00347974"/>
    <w:rsid w:val="00350AC5"/>
    <w:rsid w:val="003510E6"/>
    <w:rsid w:val="00351407"/>
    <w:rsid w:val="00352067"/>
    <w:rsid w:val="00352BF9"/>
    <w:rsid w:val="00352D6D"/>
    <w:rsid w:val="0035334F"/>
    <w:rsid w:val="00353957"/>
    <w:rsid w:val="00354428"/>
    <w:rsid w:val="00354AB8"/>
    <w:rsid w:val="00354C26"/>
    <w:rsid w:val="003550E5"/>
    <w:rsid w:val="00356164"/>
    <w:rsid w:val="003562DE"/>
    <w:rsid w:val="00360FD1"/>
    <w:rsid w:val="00361E52"/>
    <w:rsid w:val="003624E0"/>
    <w:rsid w:val="003625D3"/>
    <w:rsid w:val="003648EF"/>
    <w:rsid w:val="00365D82"/>
    <w:rsid w:val="00366A85"/>
    <w:rsid w:val="00367463"/>
    <w:rsid w:val="00370765"/>
    <w:rsid w:val="00371987"/>
    <w:rsid w:val="00371C57"/>
    <w:rsid w:val="0037207B"/>
    <w:rsid w:val="00373BA6"/>
    <w:rsid w:val="0037409E"/>
    <w:rsid w:val="00374493"/>
    <w:rsid w:val="00375466"/>
    <w:rsid w:val="00375A02"/>
    <w:rsid w:val="003766E1"/>
    <w:rsid w:val="00376798"/>
    <w:rsid w:val="00376FE9"/>
    <w:rsid w:val="00377803"/>
    <w:rsid w:val="00377B9B"/>
    <w:rsid w:val="00381256"/>
    <w:rsid w:val="00381F72"/>
    <w:rsid w:val="003832E6"/>
    <w:rsid w:val="003837FB"/>
    <w:rsid w:val="00383FF9"/>
    <w:rsid w:val="00384234"/>
    <w:rsid w:val="00384F00"/>
    <w:rsid w:val="00385116"/>
    <w:rsid w:val="003864B4"/>
    <w:rsid w:val="00386FF9"/>
    <w:rsid w:val="00387505"/>
    <w:rsid w:val="003879F5"/>
    <w:rsid w:val="003902CF"/>
    <w:rsid w:val="00390807"/>
    <w:rsid w:val="00391038"/>
    <w:rsid w:val="003910B6"/>
    <w:rsid w:val="00392A07"/>
    <w:rsid w:val="0039301B"/>
    <w:rsid w:val="00394041"/>
    <w:rsid w:val="00394965"/>
    <w:rsid w:val="00395D23"/>
    <w:rsid w:val="00396B33"/>
    <w:rsid w:val="00397E55"/>
    <w:rsid w:val="003A1B25"/>
    <w:rsid w:val="003A2122"/>
    <w:rsid w:val="003A2AE9"/>
    <w:rsid w:val="003A34E9"/>
    <w:rsid w:val="003A35CB"/>
    <w:rsid w:val="003A445A"/>
    <w:rsid w:val="003A4600"/>
    <w:rsid w:val="003A4E88"/>
    <w:rsid w:val="003A507B"/>
    <w:rsid w:val="003B0522"/>
    <w:rsid w:val="003B122D"/>
    <w:rsid w:val="003B12C3"/>
    <w:rsid w:val="003B1B11"/>
    <w:rsid w:val="003B1B50"/>
    <w:rsid w:val="003B3FED"/>
    <w:rsid w:val="003B4BAD"/>
    <w:rsid w:val="003B5367"/>
    <w:rsid w:val="003B5C64"/>
    <w:rsid w:val="003B6FE3"/>
    <w:rsid w:val="003B70BF"/>
    <w:rsid w:val="003B7E9E"/>
    <w:rsid w:val="003C0475"/>
    <w:rsid w:val="003C2249"/>
    <w:rsid w:val="003C25DF"/>
    <w:rsid w:val="003C339C"/>
    <w:rsid w:val="003C3658"/>
    <w:rsid w:val="003C3AB6"/>
    <w:rsid w:val="003C42A5"/>
    <w:rsid w:val="003C4743"/>
    <w:rsid w:val="003C5986"/>
    <w:rsid w:val="003C66DE"/>
    <w:rsid w:val="003C6D97"/>
    <w:rsid w:val="003D0682"/>
    <w:rsid w:val="003D22AF"/>
    <w:rsid w:val="003D23F1"/>
    <w:rsid w:val="003D2405"/>
    <w:rsid w:val="003D2D65"/>
    <w:rsid w:val="003D40D0"/>
    <w:rsid w:val="003D447F"/>
    <w:rsid w:val="003D46FE"/>
    <w:rsid w:val="003E1E89"/>
    <w:rsid w:val="003E1EC9"/>
    <w:rsid w:val="003E2489"/>
    <w:rsid w:val="003E30E2"/>
    <w:rsid w:val="003E392C"/>
    <w:rsid w:val="003E3FEB"/>
    <w:rsid w:val="003E4764"/>
    <w:rsid w:val="003E74E2"/>
    <w:rsid w:val="003F0014"/>
    <w:rsid w:val="003F25CE"/>
    <w:rsid w:val="003F28B6"/>
    <w:rsid w:val="003F3176"/>
    <w:rsid w:val="003F3FB2"/>
    <w:rsid w:val="003F44CA"/>
    <w:rsid w:val="003F458A"/>
    <w:rsid w:val="003F5118"/>
    <w:rsid w:val="003F531F"/>
    <w:rsid w:val="003F5C76"/>
    <w:rsid w:val="003F620E"/>
    <w:rsid w:val="003F6858"/>
    <w:rsid w:val="003F70CB"/>
    <w:rsid w:val="003F75D6"/>
    <w:rsid w:val="004002A0"/>
    <w:rsid w:val="00400DEF"/>
    <w:rsid w:val="00401799"/>
    <w:rsid w:val="00401E0A"/>
    <w:rsid w:val="00402FA1"/>
    <w:rsid w:val="0040344C"/>
    <w:rsid w:val="00403FBE"/>
    <w:rsid w:val="00404621"/>
    <w:rsid w:val="00406FBB"/>
    <w:rsid w:val="0040751E"/>
    <w:rsid w:val="0041129A"/>
    <w:rsid w:val="00413113"/>
    <w:rsid w:val="00413152"/>
    <w:rsid w:val="0041320E"/>
    <w:rsid w:val="0041434B"/>
    <w:rsid w:val="004155BF"/>
    <w:rsid w:val="004158C7"/>
    <w:rsid w:val="00415BA6"/>
    <w:rsid w:val="0041602D"/>
    <w:rsid w:val="004168CC"/>
    <w:rsid w:val="004172DF"/>
    <w:rsid w:val="004177D0"/>
    <w:rsid w:val="00417E5A"/>
    <w:rsid w:val="00417E81"/>
    <w:rsid w:val="004202E2"/>
    <w:rsid w:val="0042039C"/>
    <w:rsid w:val="0042105E"/>
    <w:rsid w:val="00421505"/>
    <w:rsid w:val="0042177F"/>
    <w:rsid w:val="0042397F"/>
    <w:rsid w:val="004241A9"/>
    <w:rsid w:val="00424821"/>
    <w:rsid w:val="00425546"/>
    <w:rsid w:val="004269C2"/>
    <w:rsid w:val="00426FD0"/>
    <w:rsid w:val="0042708A"/>
    <w:rsid w:val="004306D2"/>
    <w:rsid w:val="0043082F"/>
    <w:rsid w:val="00431468"/>
    <w:rsid w:val="004326DC"/>
    <w:rsid w:val="00432FB4"/>
    <w:rsid w:val="004334CE"/>
    <w:rsid w:val="004334F6"/>
    <w:rsid w:val="0043369F"/>
    <w:rsid w:val="00433804"/>
    <w:rsid w:val="00433AC5"/>
    <w:rsid w:val="004348A8"/>
    <w:rsid w:val="00435CED"/>
    <w:rsid w:val="00435FF4"/>
    <w:rsid w:val="004376A0"/>
    <w:rsid w:val="00437B21"/>
    <w:rsid w:val="0044090A"/>
    <w:rsid w:val="004413B5"/>
    <w:rsid w:val="00441B3D"/>
    <w:rsid w:val="00442939"/>
    <w:rsid w:val="00442BAA"/>
    <w:rsid w:val="00442CED"/>
    <w:rsid w:val="00442EE4"/>
    <w:rsid w:val="00443C7F"/>
    <w:rsid w:val="00444007"/>
    <w:rsid w:val="00444FEF"/>
    <w:rsid w:val="0044559D"/>
    <w:rsid w:val="00446128"/>
    <w:rsid w:val="004465A3"/>
    <w:rsid w:val="00446AD1"/>
    <w:rsid w:val="00446FE6"/>
    <w:rsid w:val="00447B31"/>
    <w:rsid w:val="0045007C"/>
    <w:rsid w:val="00450885"/>
    <w:rsid w:val="00450F15"/>
    <w:rsid w:val="00451A87"/>
    <w:rsid w:val="00451CF7"/>
    <w:rsid w:val="00452B37"/>
    <w:rsid w:val="00453F96"/>
    <w:rsid w:val="00454798"/>
    <w:rsid w:val="00454D7E"/>
    <w:rsid w:val="00454E28"/>
    <w:rsid w:val="0045585B"/>
    <w:rsid w:val="004575EC"/>
    <w:rsid w:val="00457F37"/>
    <w:rsid w:val="00460C0B"/>
    <w:rsid w:val="0046166C"/>
    <w:rsid w:val="00461691"/>
    <w:rsid w:val="00462CE4"/>
    <w:rsid w:val="00462D99"/>
    <w:rsid w:val="00463CB3"/>
    <w:rsid w:val="004640AF"/>
    <w:rsid w:val="00465133"/>
    <w:rsid w:val="004651FF"/>
    <w:rsid w:val="00465F5C"/>
    <w:rsid w:val="00465F67"/>
    <w:rsid w:val="004660CD"/>
    <w:rsid w:val="004661EA"/>
    <w:rsid w:val="0046642C"/>
    <w:rsid w:val="00466E44"/>
    <w:rsid w:val="00467261"/>
    <w:rsid w:val="0047323F"/>
    <w:rsid w:val="00474760"/>
    <w:rsid w:val="00475407"/>
    <w:rsid w:val="00476832"/>
    <w:rsid w:val="00476A12"/>
    <w:rsid w:val="00476D4A"/>
    <w:rsid w:val="004805AD"/>
    <w:rsid w:val="00481C0E"/>
    <w:rsid w:val="00481D46"/>
    <w:rsid w:val="004826E6"/>
    <w:rsid w:val="004828EC"/>
    <w:rsid w:val="004830B0"/>
    <w:rsid w:val="004847CF"/>
    <w:rsid w:val="004855BD"/>
    <w:rsid w:val="00485D43"/>
    <w:rsid w:val="004864D0"/>
    <w:rsid w:val="00486BF4"/>
    <w:rsid w:val="00486F60"/>
    <w:rsid w:val="004876EA"/>
    <w:rsid w:val="00490114"/>
    <w:rsid w:val="0049058D"/>
    <w:rsid w:val="00491860"/>
    <w:rsid w:val="0049526B"/>
    <w:rsid w:val="004A1BCC"/>
    <w:rsid w:val="004A1E31"/>
    <w:rsid w:val="004A3866"/>
    <w:rsid w:val="004A3B51"/>
    <w:rsid w:val="004A40F9"/>
    <w:rsid w:val="004A412B"/>
    <w:rsid w:val="004A46C5"/>
    <w:rsid w:val="004A4A19"/>
    <w:rsid w:val="004A5503"/>
    <w:rsid w:val="004A60F2"/>
    <w:rsid w:val="004A6543"/>
    <w:rsid w:val="004A7B74"/>
    <w:rsid w:val="004B0CD1"/>
    <w:rsid w:val="004B1512"/>
    <w:rsid w:val="004B2508"/>
    <w:rsid w:val="004B26DE"/>
    <w:rsid w:val="004B2C40"/>
    <w:rsid w:val="004B38A0"/>
    <w:rsid w:val="004B466E"/>
    <w:rsid w:val="004B4A26"/>
    <w:rsid w:val="004B72C6"/>
    <w:rsid w:val="004B74DD"/>
    <w:rsid w:val="004C255A"/>
    <w:rsid w:val="004C263C"/>
    <w:rsid w:val="004C31A6"/>
    <w:rsid w:val="004C381F"/>
    <w:rsid w:val="004C4260"/>
    <w:rsid w:val="004C55C3"/>
    <w:rsid w:val="004C6F02"/>
    <w:rsid w:val="004C74D0"/>
    <w:rsid w:val="004D1B30"/>
    <w:rsid w:val="004D25FB"/>
    <w:rsid w:val="004D2E6B"/>
    <w:rsid w:val="004D3238"/>
    <w:rsid w:val="004D363A"/>
    <w:rsid w:val="004D4384"/>
    <w:rsid w:val="004D606D"/>
    <w:rsid w:val="004D6B5F"/>
    <w:rsid w:val="004D6FF9"/>
    <w:rsid w:val="004D7EB5"/>
    <w:rsid w:val="004E1B00"/>
    <w:rsid w:val="004E2499"/>
    <w:rsid w:val="004E5D59"/>
    <w:rsid w:val="004E6A18"/>
    <w:rsid w:val="004E7559"/>
    <w:rsid w:val="004F0130"/>
    <w:rsid w:val="004F2A1C"/>
    <w:rsid w:val="004F30F3"/>
    <w:rsid w:val="004F37BA"/>
    <w:rsid w:val="004F45A4"/>
    <w:rsid w:val="004F46DE"/>
    <w:rsid w:val="004F4ABD"/>
    <w:rsid w:val="004F4EB7"/>
    <w:rsid w:val="004F539F"/>
    <w:rsid w:val="004F5FAF"/>
    <w:rsid w:val="004F63A3"/>
    <w:rsid w:val="004F74B5"/>
    <w:rsid w:val="004F7666"/>
    <w:rsid w:val="004F7DC8"/>
    <w:rsid w:val="0050069D"/>
    <w:rsid w:val="00502C19"/>
    <w:rsid w:val="00503498"/>
    <w:rsid w:val="00503889"/>
    <w:rsid w:val="00504E25"/>
    <w:rsid w:val="005056CA"/>
    <w:rsid w:val="005066DA"/>
    <w:rsid w:val="00506934"/>
    <w:rsid w:val="00507F35"/>
    <w:rsid w:val="005103A4"/>
    <w:rsid w:val="005104E8"/>
    <w:rsid w:val="00510682"/>
    <w:rsid w:val="00510EF8"/>
    <w:rsid w:val="00512A25"/>
    <w:rsid w:val="00512AA0"/>
    <w:rsid w:val="00513693"/>
    <w:rsid w:val="00513A90"/>
    <w:rsid w:val="005144AB"/>
    <w:rsid w:val="005153E8"/>
    <w:rsid w:val="00516DF0"/>
    <w:rsid w:val="0051764E"/>
    <w:rsid w:val="00520252"/>
    <w:rsid w:val="0052059C"/>
    <w:rsid w:val="0052142C"/>
    <w:rsid w:val="0052166D"/>
    <w:rsid w:val="00521E75"/>
    <w:rsid w:val="005220C3"/>
    <w:rsid w:val="00523D11"/>
    <w:rsid w:val="0052401E"/>
    <w:rsid w:val="005264C1"/>
    <w:rsid w:val="00526D05"/>
    <w:rsid w:val="00526E23"/>
    <w:rsid w:val="00530072"/>
    <w:rsid w:val="00530FD0"/>
    <w:rsid w:val="00532C67"/>
    <w:rsid w:val="00532E90"/>
    <w:rsid w:val="00533254"/>
    <w:rsid w:val="005376C0"/>
    <w:rsid w:val="00537B34"/>
    <w:rsid w:val="00540861"/>
    <w:rsid w:val="005416D4"/>
    <w:rsid w:val="00543967"/>
    <w:rsid w:val="00543B0D"/>
    <w:rsid w:val="005447C0"/>
    <w:rsid w:val="005468FA"/>
    <w:rsid w:val="00547E97"/>
    <w:rsid w:val="0055043E"/>
    <w:rsid w:val="0055071F"/>
    <w:rsid w:val="0055114D"/>
    <w:rsid w:val="00552151"/>
    <w:rsid w:val="005538A9"/>
    <w:rsid w:val="00553E93"/>
    <w:rsid w:val="00556992"/>
    <w:rsid w:val="005577B4"/>
    <w:rsid w:val="005578C0"/>
    <w:rsid w:val="005578DF"/>
    <w:rsid w:val="00557DD3"/>
    <w:rsid w:val="00557FAE"/>
    <w:rsid w:val="005607E8"/>
    <w:rsid w:val="00562995"/>
    <w:rsid w:val="00565BCD"/>
    <w:rsid w:val="005661EF"/>
    <w:rsid w:val="00566499"/>
    <w:rsid w:val="005708A2"/>
    <w:rsid w:val="00570A31"/>
    <w:rsid w:val="005716B9"/>
    <w:rsid w:val="005724EC"/>
    <w:rsid w:val="00574FD5"/>
    <w:rsid w:val="00577B7A"/>
    <w:rsid w:val="00581E95"/>
    <w:rsid w:val="00581FDF"/>
    <w:rsid w:val="00582003"/>
    <w:rsid w:val="005830CE"/>
    <w:rsid w:val="00583517"/>
    <w:rsid w:val="005835DD"/>
    <w:rsid w:val="00584434"/>
    <w:rsid w:val="00587691"/>
    <w:rsid w:val="005904BB"/>
    <w:rsid w:val="005916A6"/>
    <w:rsid w:val="00591E60"/>
    <w:rsid w:val="005921EE"/>
    <w:rsid w:val="00593739"/>
    <w:rsid w:val="005938A0"/>
    <w:rsid w:val="00593CF1"/>
    <w:rsid w:val="00594464"/>
    <w:rsid w:val="005947CB"/>
    <w:rsid w:val="005953A1"/>
    <w:rsid w:val="00595493"/>
    <w:rsid w:val="00595EB7"/>
    <w:rsid w:val="00596C01"/>
    <w:rsid w:val="005A016F"/>
    <w:rsid w:val="005A1102"/>
    <w:rsid w:val="005A18B8"/>
    <w:rsid w:val="005A2FD0"/>
    <w:rsid w:val="005A434F"/>
    <w:rsid w:val="005A443D"/>
    <w:rsid w:val="005A4B14"/>
    <w:rsid w:val="005A55DD"/>
    <w:rsid w:val="005A6292"/>
    <w:rsid w:val="005A7578"/>
    <w:rsid w:val="005A7FA3"/>
    <w:rsid w:val="005B0577"/>
    <w:rsid w:val="005B0BAA"/>
    <w:rsid w:val="005B30E3"/>
    <w:rsid w:val="005B37BE"/>
    <w:rsid w:val="005B3B05"/>
    <w:rsid w:val="005B4722"/>
    <w:rsid w:val="005B4B92"/>
    <w:rsid w:val="005B5476"/>
    <w:rsid w:val="005B67EA"/>
    <w:rsid w:val="005B71B5"/>
    <w:rsid w:val="005B7F80"/>
    <w:rsid w:val="005C0B21"/>
    <w:rsid w:val="005C0F0E"/>
    <w:rsid w:val="005C1FF7"/>
    <w:rsid w:val="005C250A"/>
    <w:rsid w:val="005C2DC4"/>
    <w:rsid w:val="005C4611"/>
    <w:rsid w:val="005C476C"/>
    <w:rsid w:val="005C5F3B"/>
    <w:rsid w:val="005C67F9"/>
    <w:rsid w:val="005D2630"/>
    <w:rsid w:val="005D2E72"/>
    <w:rsid w:val="005D36A9"/>
    <w:rsid w:val="005D5C7E"/>
    <w:rsid w:val="005D70E5"/>
    <w:rsid w:val="005D786C"/>
    <w:rsid w:val="005E04A5"/>
    <w:rsid w:val="005E06B7"/>
    <w:rsid w:val="005E0B20"/>
    <w:rsid w:val="005E1301"/>
    <w:rsid w:val="005E1D6E"/>
    <w:rsid w:val="005E34E8"/>
    <w:rsid w:val="005E380D"/>
    <w:rsid w:val="005E43A2"/>
    <w:rsid w:val="005E4CA8"/>
    <w:rsid w:val="005E646C"/>
    <w:rsid w:val="005E6700"/>
    <w:rsid w:val="005E7D7A"/>
    <w:rsid w:val="005F05F3"/>
    <w:rsid w:val="005F0C99"/>
    <w:rsid w:val="005F153E"/>
    <w:rsid w:val="005F173C"/>
    <w:rsid w:val="005F229B"/>
    <w:rsid w:val="005F3358"/>
    <w:rsid w:val="005F35F0"/>
    <w:rsid w:val="005F3772"/>
    <w:rsid w:val="005F41FF"/>
    <w:rsid w:val="005F4466"/>
    <w:rsid w:val="005F5B71"/>
    <w:rsid w:val="005F68EE"/>
    <w:rsid w:val="005F6BA4"/>
    <w:rsid w:val="005F7069"/>
    <w:rsid w:val="005F72D1"/>
    <w:rsid w:val="005F7E07"/>
    <w:rsid w:val="00600D64"/>
    <w:rsid w:val="00601575"/>
    <w:rsid w:val="00602690"/>
    <w:rsid w:val="00603D41"/>
    <w:rsid w:val="0060482B"/>
    <w:rsid w:val="00604F43"/>
    <w:rsid w:val="006060D8"/>
    <w:rsid w:val="00606FE8"/>
    <w:rsid w:val="0060744B"/>
    <w:rsid w:val="006076B0"/>
    <w:rsid w:val="00607FCD"/>
    <w:rsid w:val="00610442"/>
    <w:rsid w:val="00610B12"/>
    <w:rsid w:val="00611805"/>
    <w:rsid w:val="00611E64"/>
    <w:rsid w:val="00612353"/>
    <w:rsid w:val="0061420A"/>
    <w:rsid w:val="0061476C"/>
    <w:rsid w:val="0061486D"/>
    <w:rsid w:val="00615023"/>
    <w:rsid w:val="006153FC"/>
    <w:rsid w:val="006158DD"/>
    <w:rsid w:val="006166AF"/>
    <w:rsid w:val="00616B5F"/>
    <w:rsid w:val="00617033"/>
    <w:rsid w:val="006172E3"/>
    <w:rsid w:val="006201D5"/>
    <w:rsid w:val="00620255"/>
    <w:rsid w:val="006223F6"/>
    <w:rsid w:val="00622B4F"/>
    <w:rsid w:val="00624C98"/>
    <w:rsid w:val="00625F2F"/>
    <w:rsid w:val="00625F60"/>
    <w:rsid w:val="0062610F"/>
    <w:rsid w:val="00626193"/>
    <w:rsid w:val="006261B6"/>
    <w:rsid w:val="006267B9"/>
    <w:rsid w:val="00627509"/>
    <w:rsid w:val="00630063"/>
    <w:rsid w:val="0063117D"/>
    <w:rsid w:val="00633F69"/>
    <w:rsid w:val="00634235"/>
    <w:rsid w:val="00634504"/>
    <w:rsid w:val="006346E4"/>
    <w:rsid w:val="006348BF"/>
    <w:rsid w:val="006351CE"/>
    <w:rsid w:val="00635B8B"/>
    <w:rsid w:val="00636A64"/>
    <w:rsid w:val="006372FA"/>
    <w:rsid w:val="00640365"/>
    <w:rsid w:val="006404DA"/>
    <w:rsid w:val="00641503"/>
    <w:rsid w:val="00641866"/>
    <w:rsid w:val="00644ABE"/>
    <w:rsid w:val="006451C1"/>
    <w:rsid w:val="006464E6"/>
    <w:rsid w:val="00646C22"/>
    <w:rsid w:val="0065003B"/>
    <w:rsid w:val="006529B7"/>
    <w:rsid w:val="0065377C"/>
    <w:rsid w:val="00653A8E"/>
    <w:rsid w:val="00653E5C"/>
    <w:rsid w:val="00653F38"/>
    <w:rsid w:val="006549F3"/>
    <w:rsid w:val="00654BD3"/>
    <w:rsid w:val="00655184"/>
    <w:rsid w:val="00655643"/>
    <w:rsid w:val="00655FC4"/>
    <w:rsid w:val="00656001"/>
    <w:rsid w:val="00656165"/>
    <w:rsid w:val="0065695C"/>
    <w:rsid w:val="006600F9"/>
    <w:rsid w:val="006620B2"/>
    <w:rsid w:val="006638D2"/>
    <w:rsid w:val="00663A26"/>
    <w:rsid w:val="006643D0"/>
    <w:rsid w:val="006647C5"/>
    <w:rsid w:val="00664E00"/>
    <w:rsid w:val="0066628A"/>
    <w:rsid w:val="00666836"/>
    <w:rsid w:val="0067045C"/>
    <w:rsid w:val="00671973"/>
    <w:rsid w:val="006726A9"/>
    <w:rsid w:val="00674878"/>
    <w:rsid w:val="00674F5D"/>
    <w:rsid w:val="006757FE"/>
    <w:rsid w:val="00675BDB"/>
    <w:rsid w:val="00675FAB"/>
    <w:rsid w:val="00676045"/>
    <w:rsid w:val="006769DA"/>
    <w:rsid w:val="006806F1"/>
    <w:rsid w:val="006814AE"/>
    <w:rsid w:val="00682729"/>
    <w:rsid w:val="006830AA"/>
    <w:rsid w:val="00683C7E"/>
    <w:rsid w:val="006840BB"/>
    <w:rsid w:val="006849EE"/>
    <w:rsid w:val="00687A3A"/>
    <w:rsid w:val="00690147"/>
    <w:rsid w:val="0069128C"/>
    <w:rsid w:val="006917A0"/>
    <w:rsid w:val="006929C2"/>
    <w:rsid w:val="00692EF1"/>
    <w:rsid w:val="00693118"/>
    <w:rsid w:val="006935CA"/>
    <w:rsid w:val="00693880"/>
    <w:rsid w:val="006939B7"/>
    <w:rsid w:val="006941BB"/>
    <w:rsid w:val="00694C8E"/>
    <w:rsid w:val="006950EF"/>
    <w:rsid w:val="00695E53"/>
    <w:rsid w:val="0069626C"/>
    <w:rsid w:val="006965F1"/>
    <w:rsid w:val="00696A9B"/>
    <w:rsid w:val="00696AC1"/>
    <w:rsid w:val="00697071"/>
    <w:rsid w:val="00697140"/>
    <w:rsid w:val="006A0090"/>
    <w:rsid w:val="006A0291"/>
    <w:rsid w:val="006A0B54"/>
    <w:rsid w:val="006A1557"/>
    <w:rsid w:val="006A20A3"/>
    <w:rsid w:val="006A2639"/>
    <w:rsid w:val="006A2A72"/>
    <w:rsid w:val="006A2FB6"/>
    <w:rsid w:val="006A55F0"/>
    <w:rsid w:val="006A7343"/>
    <w:rsid w:val="006A7421"/>
    <w:rsid w:val="006A7C94"/>
    <w:rsid w:val="006B149C"/>
    <w:rsid w:val="006B1AA5"/>
    <w:rsid w:val="006B2E90"/>
    <w:rsid w:val="006B3CEC"/>
    <w:rsid w:val="006B3D98"/>
    <w:rsid w:val="006B596D"/>
    <w:rsid w:val="006B6BC0"/>
    <w:rsid w:val="006B7A7F"/>
    <w:rsid w:val="006B7D10"/>
    <w:rsid w:val="006B7D2B"/>
    <w:rsid w:val="006C0C68"/>
    <w:rsid w:val="006C2398"/>
    <w:rsid w:val="006C298C"/>
    <w:rsid w:val="006C4C28"/>
    <w:rsid w:val="006C6202"/>
    <w:rsid w:val="006C67EC"/>
    <w:rsid w:val="006C6BAD"/>
    <w:rsid w:val="006C71B5"/>
    <w:rsid w:val="006D24A2"/>
    <w:rsid w:val="006D2C3C"/>
    <w:rsid w:val="006D3963"/>
    <w:rsid w:val="006D3BA7"/>
    <w:rsid w:val="006D3CB2"/>
    <w:rsid w:val="006D4723"/>
    <w:rsid w:val="006D5079"/>
    <w:rsid w:val="006D59DA"/>
    <w:rsid w:val="006D6AA1"/>
    <w:rsid w:val="006D6DD8"/>
    <w:rsid w:val="006D738B"/>
    <w:rsid w:val="006D74A3"/>
    <w:rsid w:val="006D75AB"/>
    <w:rsid w:val="006E0D7D"/>
    <w:rsid w:val="006E14BD"/>
    <w:rsid w:val="006E260F"/>
    <w:rsid w:val="006E2D59"/>
    <w:rsid w:val="006E3639"/>
    <w:rsid w:val="006E3B6E"/>
    <w:rsid w:val="006E40A2"/>
    <w:rsid w:val="006E4254"/>
    <w:rsid w:val="006E5AAE"/>
    <w:rsid w:val="006E6513"/>
    <w:rsid w:val="006E7928"/>
    <w:rsid w:val="006F04FB"/>
    <w:rsid w:val="006F1784"/>
    <w:rsid w:val="006F37AB"/>
    <w:rsid w:val="006F3B6B"/>
    <w:rsid w:val="006F5158"/>
    <w:rsid w:val="006F54D2"/>
    <w:rsid w:val="006F5706"/>
    <w:rsid w:val="006F6EDF"/>
    <w:rsid w:val="0070223B"/>
    <w:rsid w:val="007031B9"/>
    <w:rsid w:val="00703588"/>
    <w:rsid w:val="00703735"/>
    <w:rsid w:val="00703ED8"/>
    <w:rsid w:val="00704708"/>
    <w:rsid w:val="00704ED2"/>
    <w:rsid w:val="007055CE"/>
    <w:rsid w:val="00706412"/>
    <w:rsid w:val="007069A7"/>
    <w:rsid w:val="00706A8F"/>
    <w:rsid w:val="007075A4"/>
    <w:rsid w:val="007104A7"/>
    <w:rsid w:val="00710BE6"/>
    <w:rsid w:val="007121CB"/>
    <w:rsid w:val="00712EFA"/>
    <w:rsid w:val="00713FA7"/>
    <w:rsid w:val="007144A8"/>
    <w:rsid w:val="00714773"/>
    <w:rsid w:val="00714BF7"/>
    <w:rsid w:val="00715AA5"/>
    <w:rsid w:val="00717E40"/>
    <w:rsid w:val="007210DF"/>
    <w:rsid w:val="007212E3"/>
    <w:rsid w:val="00722BB1"/>
    <w:rsid w:val="00723B3E"/>
    <w:rsid w:val="00723E18"/>
    <w:rsid w:val="00724499"/>
    <w:rsid w:val="0072523A"/>
    <w:rsid w:val="00726439"/>
    <w:rsid w:val="0072777C"/>
    <w:rsid w:val="00730088"/>
    <w:rsid w:val="0073086F"/>
    <w:rsid w:val="00731EA4"/>
    <w:rsid w:val="007326D2"/>
    <w:rsid w:val="00732822"/>
    <w:rsid w:val="007328D2"/>
    <w:rsid w:val="00732C31"/>
    <w:rsid w:val="00732FF2"/>
    <w:rsid w:val="007339A8"/>
    <w:rsid w:val="00733E5A"/>
    <w:rsid w:val="00734628"/>
    <w:rsid w:val="0073569E"/>
    <w:rsid w:val="0073775B"/>
    <w:rsid w:val="0074010E"/>
    <w:rsid w:val="00741561"/>
    <w:rsid w:val="00741ACA"/>
    <w:rsid w:val="00743492"/>
    <w:rsid w:val="007443BF"/>
    <w:rsid w:val="007443EA"/>
    <w:rsid w:val="007443EF"/>
    <w:rsid w:val="0074588C"/>
    <w:rsid w:val="00745A0C"/>
    <w:rsid w:val="00745D9C"/>
    <w:rsid w:val="007460EC"/>
    <w:rsid w:val="007467B2"/>
    <w:rsid w:val="00746EF8"/>
    <w:rsid w:val="0074777C"/>
    <w:rsid w:val="00750AC2"/>
    <w:rsid w:val="00752056"/>
    <w:rsid w:val="007533FE"/>
    <w:rsid w:val="00753720"/>
    <w:rsid w:val="0075549E"/>
    <w:rsid w:val="00755841"/>
    <w:rsid w:val="0075633A"/>
    <w:rsid w:val="00757C56"/>
    <w:rsid w:val="00762147"/>
    <w:rsid w:val="0076395C"/>
    <w:rsid w:val="00764121"/>
    <w:rsid w:val="007647AA"/>
    <w:rsid w:val="007649DB"/>
    <w:rsid w:val="00765A97"/>
    <w:rsid w:val="00765ECF"/>
    <w:rsid w:val="00767DA5"/>
    <w:rsid w:val="00770030"/>
    <w:rsid w:val="00770651"/>
    <w:rsid w:val="00770F17"/>
    <w:rsid w:val="007711D0"/>
    <w:rsid w:val="0077165C"/>
    <w:rsid w:val="00772EFC"/>
    <w:rsid w:val="00773C65"/>
    <w:rsid w:val="00773CE8"/>
    <w:rsid w:val="00773E72"/>
    <w:rsid w:val="00774A10"/>
    <w:rsid w:val="00775BAB"/>
    <w:rsid w:val="00776B79"/>
    <w:rsid w:val="00776F4F"/>
    <w:rsid w:val="007773D3"/>
    <w:rsid w:val="007775ED"/>
    <w:rsid w:val="007776C2"/>
    <w:rsid w:val="00780021"/>
    <w:rsid w:val="007803E5"/>
    <w:rsid w:val="00780D9A"/>
    <w:rsid w:val="00780E51"/>
    <w:rsid w:val="007811AD"/>
    <w:rsid w:val="00781763"/>
    <w:rsid w:val="007825E3"/>
    <w:rsid w:val="00782B07"/>
    <w:rsid w:val="00784118"/>
    <w:rsid w:val="0078457F"/>
    <w:rsid w:val="00784AFB"/>
    <w:rsid w:val="00786BB0"/>
    <w:rsid w:val="00787430"/>
    <w:rsid w:val="007913D8"/>
    <w:rsid w:val="00791B7B"/>
    <w:rsid w:val="007934D1"/>
    <w:rsid w:val="007954A0"/>
    <w:rsid w:val="00795BF8"/>
    <w:rsid w:val="00796022"/>
    <w:rsid w:val="00796AA7"/>
    <w:rsid w:val="00797243"/>
    <w:rsid w:val="00797D3E"/>
    <w:rsid w:val="007A0C87"/>
    <w:rsid w:val="007A23E9"/>
    <w:rsid w:val="007A5390"/>
    <w:rsid w:val="007A62D2"/>
    <w:rsid w:val="007A6E10"/>
    <w:rsid w:val="007A7029"/>
    <w:rsid w:val="007A7A1A"/>
    <w:rsid w:val="007A7E5E"/>
    <w:rsid w:val="007B1316"/>
    <w:rsid w:val="007B13AD"/>
    <w:rsid w:val="007B18F0"/>
    <w:rsid w:val="007B1C10"/>
    <w:rsid w:val="007B1C1D"/>
    <w:rsid w:val="007B2E92"/>
    <w:rsid w:val="007B317E"/>
    <w:rsid w:val="007B4588"/>
    <w:rsid w:val="007B6029"/>
    <w:rsid w:val="007B60BC"/>
    <w:rsid w:val="007C0E84"/>
    <w:rsid w:val="007C0F41"/>
    <w:rsid w:val="007C1788"/>
    <w:rsid w:val="007C17BB"/>
    <w:rsid w:val="007C1B8F"/>
    <w:rsid w:val="007C1BBF"/>
    <w:rsid w:val="007C32C4"/>
    <w:rsid w:val="007C3567"/>
    <w:rsid w:val="007C3919"/>
    <w:rsid w:val="007C4C6D"/>
    <w:rsid w:val="007C55BE"/>
    <w:rsid w:val="007C5833"/>
    <w:rsid w:val="007C77BF"/>
    <w:rsid w:val="007C7C2A"/>
    <w:rsid w:val="007C7D3F"/>
    <w:rsid w:val="007D0DAD"/>
    <w:rsid w:val="007D187C"/>
    <w:rsid w:val="007D1AC7"/>
    <w:rsid w:val="007D394B"/>
    <w:rsid w:val="007D446D"/>
    <w:rsid w:val="007D58FC"/>
    <w:rsid w:val="007D5CA2"/>
    <w:rsid w:val="007D6985"/>
    <w:rsid w:val="007D6ECF"/>
    <w:rsid w:val="007D7250"/>
    <w:rsid w:val="007D75C2"/>
    <w:rsid w:val="007D7CD4"/>
    <w:rsid w:val="007E00F1"/>
    <w:rsid w:val="007E01B9"/>
    <w:rsid w:val="007E0772"/>
    <w:rsid w:val="007E0E1E"/>
    <w:rsid w:val="007E22AE"/>
    <w:rsid w:val="007E2E02"/>
    <w:rsid w:val="007E37BC"/>
    <w:rsid w:val="007E49C5"/>
    <w:rsid w:val="007E54F8"/>
    <w:rsid w:val="007E5F47"/>
    <w:rsid w:val="007E7194"/>
    <w:rsid w:val="007E7740"/>
    <w:rsid w:val="007E79AB"/>
    <w:rsid w:val="007F0556"/>
    <w:rsid w:val="007F097A"/>
    <w:rsid w:val="007F11B4"/>
    <w:rsid w:val="007F295D"/>
    <w:rsid w:val="007F2E95"/>
    <w:rsid w:val="007F3C16"/>
    <w:rsid w:val="007F4377"/>
    <w:rsid w:val="007F4F72"/>
    <w:rsid w:val="007F6CD4"/>
    <w:rsid w:val="007F72EB"/>
    <w:rsid w:val="007F7805"/>
    <w:rsid w:val="007F7B14"/>
    <w:rsid w:val="00800D16"/>
    <w:rsid w:val="00802B53"/>
    <w:rsid w:val="00803567"/>
    <w:rsid w:val="008107AC"/>
    <w:rsid w:val="00810B3E"/>
    <w:rsid w:val="008110F8"/>
    <w:rsid w:val="0081143E"/>
    <w:rsid w:val="00811B44"/>
    <w:rsid w:val="00813C8C"/>
    <w:rsid w:val="008140B7"/>
    <w:rsid w:val="0081538D"/>
    <w:rsid w:val="008158AC"/>
    <w:rsid w:val="00815C4C"/>
    <w:rsid w:val="00815EB8"/>
    <w:rsid w:val="00817B05"/>
    <w:rsid w:val="008210F9"/>
    <w:rsid w:val="0082139A"/>
    <w:rsid w:val="00822C2E"/>
    <w:rsid w:val="00824AF2"/>
    <w:rsid w:val="0082561C"/>
    <w:rsid w:val="00826603"/>
    <w:rsid w:val="00826EB7"/>
    <w:rsid w:val="00827275"/>
    <w:rsid w:val="00827AB7"/>
    <w:rsid w:val="008301DC"/>
    <w:rsid w:val="008306E3"/>
    <w:rsid w:val="00830750"/>
    <w:rsid w:val="00830C1E"/>
    <w:rsid w:val="008314C4"/>
    <w:rsid w:val="008332DC"/>
    <w:rsid w:val="00833972"/>
    <w:rsid w:val="008363E1"/>
    <w:rsid w:val="00836D0C"/>
    <w:rsid w:val="00837501"/>
    <w:rsid w:val="00837C0C"/>
    <w:rsid w:val="008418C0"/>
    <w:rsid w:val="00841C57"/>
    <w:rsid w:val="00844BCC"/>
    <w:rsid w:val="008455B8"/>
    <w:rsid w:val="00847312"/>
    <w:rsid w:val="008519A8"/>
    <w:rsid w:val="00851E29"/>
    <w:rsid w:val="00852247"/>
    <w:rsid w:val="008524C0"/>
    <w:rsid w:val="00852BC1"/>
    <w:rsid w:val="00853D07"/>
    <w:rsid w:val="00854119"/>
    <w:rsid w:val="008544B2"/>
    <w:rsid w:val="00855D24"/>
    <w:rsid w:val="00856F99"/>
    <w:rsid w:val="00857185"/>
    <w:rsid w:val="008575F6"/>
    <w:rsid w:val="00860533"/>
    <w:rsid w:val="00860B05"/>
    <w:rsid w:val="00860C31"/>
    <w:rsid w:val="00861986"/>
    <w:rsid w:val="0086228E"/>
    <w:rsid w:val="00862ABE"/>
    <w:rsid w:val="00864677"/>
    <w:rsid w:val="008653B9"/>
    <w:rsid w:val="00865D6D"/>
    <w:rsid w:val="008661DE"/>
    <w:rsid w:val="00866918"/>
    <w:rsid w:val="00867876"/>
    <w:rsid w:val="00867E47"/>
    <w:rsid w:val="00870CB6"/>
    <w:rsid w:val="00871456"/>
    <w:rsid w:val="008724E0"/>
    <w:rsid w:val="0087267F"/>
    <w:rsid w:val="008727B4"/>
    <w:rsid w:val="00873000"/>
    <w:rsid w:val="008732B0"/>
    <w:rsid w:val="00873AC1"/>
    <w:rsid w:val="008744DE"/>
    <w:rsid w:val="008752FE"/>
    <w:rsid w:val="00876C94"/>
    <w:rsid w:val="00876CED"/>
    <w:rsid w:val="00876F8A"/>
    <w:rsid w:val="008779C4"/>
    <w:rsid w:val="00880A19"/>
    <w:rsid w:val="00880DA1"/>
    <w:rsid w:val="00881A17"/>
    <w:rsid w:val="00881AD9"/>
    <w:rsid w:val="00882BBB"/>
    <w:rsid w:val="008832F4"/>
    <w:rsid w:val="00883386"/>
    <w:rsid w:val="00885471"/>
    <w:rsid w:val="00890208"/>
    <w:rsid w:val="008904D3"/>
    <w:rsid w:val="00891215"/>
    <w:rsid w:val="00891C08"/>
    <w:rsid w:val="0089249D"/>
    <w:rsid w:val="0089302A"/>
    <w:rsid w:val="00893900"/>
    <w:rsid w:val="00893F52"/>
    <w:rsid w:val="008943B1"/>
    <w:rsid w:val="00895916"/>
    <w:rsid w:val="00895ADB"/>
    <w:rsid w:val="008960B5"/>
    <w:rsid w:val="008A020C"/>
    <w:rsid w:val="008A03C0"/>
    <w:rsid w:val="008A0C23"/>
    <w:rsid w:val="008A144B"/>
    <w:rsid w:val="008A50DF"/>
    <w:rsid w:val="008A52C2"/>
    <w:rsid w:val="008A6B84"/>
    <w:rsid w:val="008B0BA8"/>
    <w:rsid w:val="008B1E47"/>
    <w:rsid w:val="008B2167"/>
    <w:rsid w:val="008B2350"/>
    <w:rsid w:val="008B24E9"/>
    <w:rsid w:val="008B2753"/>
    <w:rsid w:val="008B39DD"/>
    <w:rsid w:val="008B3E7A"/>
    <w:rsid w:val="008B406B"/>
    <w:rsid w:val="008B5640"/>
    <w:rsid w:val="008B58C6"/>
    <w:rsid w:val="008B609B"/>
    <w:rsid w:val="008B7DFB"/>
    <w:rsid w:val="008C064F"/>
    <w:rsid w:val="008C0B9C"/>
    <w:rsid w:val="008C13FE"/>
    <w:rsid w:val="008C28E0"/>
    <w:rsid w:val="008C424C"/>
    <w:rsid w:val="008C542A"/>
    <w:rsid w:val="008C6F11"/>
    <w:rsid w:val="008C7EB0"/>
    <w:rsid w:val="008D0619"/>
    <w:rsid w:val="008D0808"/>
    <w:rsid w:val="008D0835"/>
    <w:rsid w:val="008D1633"/>
    <w:rsid w:val="008D39DE"/>
    <w:rsid w:val="008D4DB9"/>
    <w:rsid w:val="008D5864"/>
    <w:rsid w:val="008D5C8F"/>
    <w:rsid w:val="008D61C9"/>
    <w:rsid w:val="008D61D4"/>
    <w:rsid w:val="008D6FA0"/>
    <w:rsid w:val="008D72B9"/>
    <w:rsid w:val="008E102F"/>
    <w:rsid w:val="008E1432"/>
    <w:rsid w:val="008E3BE0"/>
    <w:rsid w:val="008E3EA8"/>
    <w:rsid w:val="008E47F9"/>
    <w:rsid w:val="008E4C93"/>
    <w:rsid w:val="008E4E2C"/>
    <w:rsid w:val="008E52CF"/>
    <w:rsid w:val="008E64CB"/>
    <w:rsid w:val="008E70C4"/>
    <w:rsid w:val="008E7789"/>
    <w:rsid w:val="008E7ECF"/>
    <w:rsid w:val="008F0AB9"/>
    <w:rsid w:val="008F2520"/>
    <w:rsid w:val="008F2CDE"/>
    <w:rsid w:val="008F372B"/>
    <w:rsid w:val="008F597B"/>
    <w:rsid w:val="008F68E9"/>
    <w:rsid w:val="008F6FE7"/>
    <w:rsid w:val="008F7D07"/>
    <w:rsid w:val="009007F4"/>
    <w:rsid w:val="00901883"/>
    <w:rsid w:val="00901CC4"/>
    <w:rsid w:val="00902E89"/>
    <w:rsid w:val="009033F4"/>
    <w:rsid w:val="0090512D"/>
    <w:rsid w:val="009058A0"/>
    <w:rsid w:val="009059C4"/>
    <w:rsid w:val="00905EE0"/>
    <w:rsid w:val="00906083"/>
    <w:rsid w:val="009066C0"/>
    <w:rsid w:val="009071EC"/>
    <w:rsid w:val="009109CC"/>
    <w:rsid w:val="00911893"/>
    <w:rsid w:val="00913964"/>
    <w:rsid w:val="0091642E"/>
    <w:rsid w:val="00916D21"/>
    <w:rsid w:val="00916F90"/>
    <w:rsid w:val="00917632"/>
    <w:rsid w:val="00917708"/>
    <w:rsid w:val="00920013"/>
    <w:rsid w:val="009204CF"/>
    <w:rsid w:val="00922222"/>
    <w:rsid w:val="00922FAA"/>
    <w:rsid w:val="00923709"/>
    <w:rsid w:val="00924454"/>
    <w:rsid w:val="00925016"/>
    <w:rsid w:val="00925CD3"/>
    <w:rsid w:val="0092677F"/>
    <w:rsid w:val="009274EB"/>
    <w:rsid w:val="0092786C"/>
    <w:rsid w:val="00931AE1"/>
    <w:rsid w:val="00931D75"/>
    <w:rsid w:val="009335ED"/>
    <w:rsid w:val="00933610"/>
    <w:rsid w:val="009337B1"/>
    <w:rsid w:val="00933948"/>
    <w:rsid w:val="00933A7C"/>
    <w:rsid w:val="0093457C"/>
    <w:rsid w:val="00934A5B"/>
    <w:rsid w:val="00934D2A"/>
    <w:rsid w:val="009353D7"/>
    <w:rsid w:val="009361F1"/>
    <w:rsid w:val="00936534"/>
    <w:rsid w:val="00936B07"/>
    <w:rsid w:val="00940427"/>
    <w:rsid w:val="009406C3"/>
    <w:rsid w:val="00940CED"/>
    <w:rsid w:val="00941577"/>
    <w:rsid w:val="0094297F"/>
    <w:rsid w:val="009432F8"/>
    <w:rsid w:val="0094363F"/>
    <w:rsid w:val="0094665D"/>
    <w:rsid w:val="00946C85"/>
    <w:rsid w:val="00946FDC"/>
    <w:rsid w:val="0095003A"/>
    <w:rsid w:val="009500A6"/>
    <w:rsid w:val="00950C45"/>
    <w:rsid w:val="00950CEA"/>
    <w:rsid w:val="00951211"/>
    <w:rsid w:val="00951579"/>
    <w:rsid w:val="0095274D"/>
    <w:rsid w:val="00952E88"/>
    <w:rsid w:val="00954061"/>
    <w:rsid w:val="00957C39"/>
    <w:rsid w:val="00960C22"/>
    <w:rsid w:val="0096211D"/>
    <w:rsid w:val="00962A6D"/>
    <w:rsid w:val="00963DF1"/>
    <w:rsid w:val="00963FE5"/>
    <w:rsid w:val="00965328"/>
    <w:rsid w:val="00965D29"/>
    <w:rsid w:val="009665CD"/>
    <w:rsid w:val="009669C5"/>
    <w:rsid w:val="00966FD3"/>
    <w:rsid w:val="00967998"/>
    <w:rsid w:val="00967E63"/>
    <w:rsid w:val="009704AA"/>
    <w:rsid w:val="00971F7C"/>
    <w:rsid w:val="00972C7F"/>
    <w:rsid w:val="009733DB"/>
    <w:rsid w:val="0097424A"/>
    <w:rsid w:val="00974DA1"/>
    <w:rsid w:val="009768FB"/>
    <w:rsid w:val="00976E1D"/>
    <w:rsid w:val="00977638"/>
    <w:rsid w:val="00977920"/>
    <w:rsid w:val="0098170E"/>
    <w:rsid w:val="0098174F"/>
    <w:rsid w:val="00983FE3"/>
    <w:rsid w:val="00984315"/>
    <w:rsid w:val="009868D4"/>
    <w:rsid w:val="0098739B"/>
    <w:rsid w:val="009879C2"/>
    <w:rsid w:val="00990000"/>
    <w:rsid w:val="009919FA"/>
    <w:rsid w:val="009926AB"/>
    <w:rsid w:val="00992AE9"/>
    <w:rsid w:val="00992B3F"/>
    <w:rsid w:val="00993584"/>
    <w:rsid w:val="009935B1"/>
    <w:rsid w:val="00993F82"/>
    <w:rsid w:val="0099422F"/>
    <w:rsid w:val="00994281"/>
    <w:rsid w:val="00994883"/>
    <w:rsid w:val="00994D75"/>
    <w:rsid w:val="00995CE9"/>
    <w:rsid w:val="00996B20"/>
    <w:rsid w:val="00996D63"/>
    <w:rsid w:val="00997825"/>
    <w:rsid w:val="00997C8C"/>
    <w:rsid w:val="009A03F1"/>
    <w:rsid w:val="009A0898"/>
    <w:rsid w:val="009A0BF9"/>
    <w:rsid w:val="009A0EBF"/>
    <w:rsid w:val="009A18BB"/>
    <w:rsid w:val="009A1CE7"/>
    <w:rsid w:val="009A212A"/>
    <w:rsid w:val="009A2ED5"/>
    <w:rsid w:val="009A4CEC"/>
    <w:rsid w:val="009A4E67"/>
    <w:rsid w:val="009A52F2"/>
    <w:rsid w:val="009A6FD8"/>
    <w:rsid w:val="009A7454"/>
    <w:rsid w:val="009A77CF"/>
    <w:rsid w:val="009B18B1"/>
    <w:rsid w:val="009B3AF3"/>
    <w:rsid w:val="009B3E96"/>
    <w:rsid w:val="009B477C"/>
    <w:rsid w:val="009B4E10"/>
    <w:rsid w:val="009B5FD3"/>
    <w:rsid w:val="009B60F0"/>
    <w:rsid w:val="009B639E"/>
    <w:rsid w:val="009B6543"/>
    <w:rsid w:val="009B7942"/>
    <w:rsid w:val="009B7A18"/>
    <w:rsid w:val="009B7C75"/>
    <w:rsid w:val="009B7DC3"/>
    <w:rsid w:val="009C179C"/>
    <w:rsid w:val="009C17AA"/>
    <w:rsid w:val="009C2952"/>
    <w:rsid w:val="009C333B"/>
    <w:rsid w:val="009C47D2"/>
    <w:rsid w:val="009C5053"/>
    <w:rsid w:val="009C50C8"/>
    <w:rsid w:val="009C57A6"/>
    <w:rsid w:val="009C597F"/>
    <w:rsid w:val="009C5ED2"/>
    <w:rsid w:val="009C693D"/>
    <w:rsid w:val="009C70E6"/>
    <w:rsid w:val="009C7A7F"/>
    <w:rsid w:val="009D03D6"/>
    <w:rsid w:val="009D0A44"/>
    <w:rsid w:val="009D0ACA"/>
    <w:rsid w:val="009D25D9"/>
    <w:rsid w:val="009D2EC1"/>
    <w:rsid w:val="009D4535"/>
    <w:rsid w:val="009D5D6D"/>
    <w:rsid w:val="009E071D"/>
    <w:rsid w:val="009E0C17"/>
    <w:rsid w:val="009E1448"/>
    <w:rsid w:val="009E16B0"/>
    <w:rsid w:val="009E2D8C"/>
    <w:rsid w:val="009E3032"/>
    <w:rsid w:val="009E318D"/>
    <w:rsid w:val="009E40F4"/>
    <w:rsid w:val="009E444D"/>
    <w:rsid w:val="009E4569"/>
    <w:rsid w:val="009E51AB"/>
    <w:rsid w:val="009E5E1E"/>
    <w:rsid w:val="009E6D7D"/>
    <w:rsid w:val="009E72C6"/>
    <w:rsid w:val="009F1348"/>
    <w:rsid w:val="009F1BE2"/>
    <w:rsid w:val="009F23DF"/>
    <w:rsid w:val="009F2C02"/>
    <w:rsid w:val="009F363C"/>
    <w:rsid w:val="009F3F4C"/>
    <w:rsid w:val="009F47E4"/>
    <w:rsid w:val="009F5349"/>
    <w:rsid w:val="009F5ABF"/>
    <w:rsid w:val="009F5D39"/>
    <w:rsid w:val="009F6943"/>
    <w:rsid w:val="009F6E6F"/>
    <w:rsid w:val="009F704F"/>
    <w:rsid w:val="009F70F3"/>
    <w:rsid w:val="00A00047"/>
    <w:rsid w:val="00A00095"/>
    <w:rsid w:val="00A001C9"/>
    <w:rsid w:val="00A00CD9"/>
    <w:rsid w:val="00A01202"/>
    <w:rsid w:val="00A01406"/>
    <w:rsid w:val="00A0196D"/>
    <w:rsid w:val="00A01EB5"/>
    <w:rsid w:val="00A026EF"/>
    <w:rsid w:val="00A02DAA"/>
    <w:rsid w:val="00A03A01"/>
    <w:rsid w:val="00A03A1A"/>
    <w:rsid w:val="00A0544E"/>
    <w:rsid w:val="00A07BE0"/>
    <w:rsid w:val="00A103A8"/>
    <w:rsid w:val="00A10480"/>
    <w:rsid w:val="00A1118E"/>
    <w:rsid w:val="00A11CEE"/>
    <w:rsid w:val="00A11D65"/>
    <w:rsid w:val="00A1319B"/>
    <w:rsid w:val="00A13CB7"/>
    <w:rsid w:val="00A14260"/>
    <w:rsid w:val="00A1499D"/>
    <w:rsid w:val="00A155F5"/>
    <w:rsid w:val="00A16B5B"/>
    <w:rsid w:val="00A21333"/>
    <w:rsid w:val="00A22630"/>
    <w:rsid w:val="00A22B01"/>
    <w:rsid w:val="00A236B7"/>
    <w:rsid w:val="00A24EE1"/>
    <w:rsid w:val="00A2590A"/>
    <w:rsid w:val="00A259D4"/>
    <w:rsid w:val="00A260CB"/>
    <w:rsid w:val="00A2616B"/>
    <w:rsid w:val="00A27215"/>
    <w:rsid w:val="00A30A25"/>
    <w:rsid w:val="00A30EF5"/>
    <w:rsid w:val="00A316F1"/>
    <w:rsid w:val="00A33222"/>
    <w:rsid w:val="00A33417"/>
    <w:rsid w:val="00A33C2A"/>
    <w:rsid w:val="00A34F7B"/>
    <w:rsid w:val="00A37D9B"/>
    <w:rsid w:val="00A417FA"/>
    <w:rsid w:val="00A41BB4"/>
    <w:rsid w:val="00A42925"/>
    <w:rsid w:val="00A447FB"/>
    <w:rsid w:val="00A45549"/>
    <w:rsid w:val="00A46F9A"/>
    <w:rsid w:val="00A47138"/>
    <w:rsid w:val="00A502AC"/>
    <w:rsid w:val="00A513FC"/>
    <w:rsid w:val="00A51799"/>
    <w:rsid w:val="00A51FDA"/>
    <w:rsid w:val="00A52133"/>
    <w:rsid w:val="00A52A2B"/>
    <w:rsid w:val="00A53760"/>
    <w:rsid w:val="00A53C51"/>
    <w:rsid w:val="00A54D2A"/>
    <w:rsid w:val="00A5509B"/>
    <w:rsid w:val="00A5537A"/>
    <w:rsid w:val="00A563D0"/>
    <w:rsid w:val="00A60A44"/>
    <w:rsid w:val="00A6175C"/>
    <w:rsid w:val="00A63822"/>
    <w:rsid w:val="00A65014"/>
    <w:rsid w:val="00A65D58"/>
    <w:rsid w:val="00A665EE"/>
    <w:rsid w:val="00A6673A"/>
    <w:rsid w:val="00A66823"/>
    <w:rsid w:val="00A67644"/>
    <w:rsid w:val="00A679C2"/>
    <w:rsid w:val="00A70068"/>
    <w:rsid w:val="00A701FC"/>
    <w:rsid w:val="00A7098E"/>
    <w:rsid w:val="00A72E2E"/>
    <w:rsid w:val="00A72FBF"/>
    <w:rsid w:val="00A75227"/>
    <w:rsid w:val="00A75827"/>
    <w:rsid w:val="00A815F4"/>
    <w:rsid w:val="00A82E4E"/>
    <w:rsid w:val="00A8335A"/>
    <w:rsid w:val="00A84A0D"/>
    <w:rsid w:val="00A84B63"/>
    <w:rsid w:val="00A85720"/>
    <w:rsid w:val="00A85741"/>
    <w:rsid w:val="00A86285"/>
    <w:rsid w:val="00A87019"/>
    <w:rsid w:val="00A90301"/>
    <w:rsid w:val="00A91714"/>
    <w:rsid w:val="00A91A95"/>
    <w:rsid w:val="00A92172"/>
    <w:rsid w:val="00A9466F"/>
    <w:rsid w:val="00A95A1A"/>
    <w:rsid w:val="00A96501"/>
    <w:rsid w:val="00A96847"/>
    <w:rsid w:val="00A97861"/>
    <w:rsid w:val="00A97C8A"/>
    <w:rsid w:val="00AA07C9"/>
    <w:rsid w:val="00AA0E60"/>
    <w:rsid w:val="00AA124D"/>
    <w:rsid w:val="00AA12E0"/>
    <w:rsid w:val="00AA17AF"/>
    <w:rsid w:val="00AA1E2A"/>
    <w:rsid w:val="00AA24BB"/>
    <w:rsid w:val="00AA3D34"/>
    <w:rsid w:val="00AA4A20"/>
    <w:rsid w:val="00AA615A"/>
    <w:rsid w:val="00AA649D"/>
    <w:rsid w:val="00AA6ACC"/>
    <w:rsid w:val="00AA6E82"/>
    <w:rsid w:val="00AB038F"/>
    <w:rsid w:val="00AB0578"/>
    <w:rsid w:val="00AB0628"/>
    <w:rsid w:val="00AB0889"/>
    <w:rsid w:val="00AB1293"/>
    <w:rsid w:val="00AB1306"/>
    <w:rsid w:val="00AB22A5"/>
    <w:rsid w:val="00AB2334"/>
    <w:rsid w:val="00AB345D"/>
    <w:rsid w:val="00AB3F7A"/>
    <w:rsid w:val="00AB5CA1"/>
    <w:rsid w:val="00AB5CD3"/>
    <w:rsid w:val="00AB6275"/>
    <w:rsid w:val="00AB68A6"/>
    <w:rsid w:val="00AB6B0F"/>
    <w:rsid w:val="00AB7344"/>
    <w:rsid w:val="00AB7A98"/>
    <w:rsid w:val="00AB7E91"/>
    <w:rsid w:val="00AC0952"/>
    <w:rsid w:val="00AC1A92"/>
    <w:rsid w:val="00AC1FFF"/>
    <w:rsid w:val="00AC38BA"/>
    <w:rsid w:val="00AC3A8D"/>
    <w:rsid w:val="00AC3ABD"/>
    <w:rsid w:val="00AC3CAA"/>
    <w:rsid w:val="00AC5200"/>
    <w:rsid w:val="00AC646A"/>
    <w:rsid w:val="00AC6726"/>
    <w:rsid w:val="00AC781C"/>
    <w:rsid w:val="00AD01A3"/>
    <w:rsid w:val="00AD06F6"/>
    <w:rsid w:val="00AD075C"/>
    <w:rsid w:val="00AD07DC"/>
    <w:rsid w:val="00AD1B70"/>
    <w:rsid w:val="00AD1C51"/>
    <w:rsid w:val="00AD22AB"/>
    <w:rsid w:val="00AD2368"/>
    <w:rsid w:val="00AD32D6"/>
    <w:rsid w:val="00AD36C5"/>
    <w:rsid w:val="00AD3D39"/>
    <w:rsid w:val="00AD4EDE"/>
    <w:rsid w:val="00AD54FA"/>
    <w:rsid w:val="00AD577A"/>
    <w:rsid w:val="00AD6FB2"/>
    <w:rsid w:val="00AD77F8"/>
    <w:rsid w:val="00AD7841"/>
    <w:rsid w:val="00AE0119"/>
    <w:rsid w:val="00AE1095"/>
    <w:rsid w:val="00AE1151"/>
    <w:rsid w:val="00AE16F0"/>
    <w:rsid w:val="00AE189A"/>
    <w:rsid w:val="00AE20AC"/>
    <w:rsid w:val="00AE2578"/>
    <w:rsid w:val="00AE3933"/>
    <w:rsid w:val="00AE3AA9"/>
    <w:rsid w:val="00AE465B"/>
    <w:rsid w:val="00AE4C31"/>
    <w:rsid w:val="00AE4C4D"/>
    <w:rsid w:val="00AE67FE"/>
    <w:rsid w:val="00AE6A87"/>
    <w:rsid w:val="00AE7803"/>
    <w:rsid w:val="00AF1030"/>
    <w:rsid w:val="00AF1CFD"/>
    <w:rsid w:val="00AF1E17"/>
    <w:rsid w:val="00AF2340"/>
    <w:rsid w:val="00AF24E0"/>
    <w:rsid w:val="00AF2598"/>
    <w:rsid w:val="00AF2EA6"/>
    <w:rsid w:val="00AF39FB"/>
    <w:rsid w:val="00AF3B88"/>
    <w:rsid w:val="00AF3D5C"/>
    <w:rsid w:val="00AF4865"/>
    <w:rsid w:val="00AF52BD"/>
    <w:rsid w:val="00AF61F0"/>
    <w:rsid w:val="00B01145"/>
    <w:rsid w:val="00B011A4"/>
    <w:rsid w:val="00B01DC4"/>
    <w:rsid w:val="00B02C13"/>
    <w:rsid w:val="00B02D20"/>
    <w:rsid w:val="00B0323C"/>
    <w:rsid w:val="00B038F6"/>
    <w:rsid w:val="00B04A50"/>
    <w:rsid w:val="00B10640"/>
    <w:rsid w:val="00B10F26"/>
    <w:rsid w:val="00B11C2B"/>
    <w:rsid w:val="00B14049"/>
    <w:rsid w:val="00B14A36"/>
    <w:rsid w:val="00B14B18"/>
    <w:rsid w:val="00B158E3"/>
    <w:rsid w:val="00B16C91"/>
    <w:rsid w:val="00B16CBF"/>
    <w:rsid w:val="00B171F7"/>
    <w:rsid w:val="00B20C5A"/>
    <w:rsid w:val="00B2291B"/>
    <w:rsid w:val="00B22E57"/>
    <w:rsid w:val="00B241B0"/>
    <w:rsid w:val="00B2427A"/>
    <w:rsid w:val="00B249D2"/>
    <w:rsid w:val="00B24CE2"/>
    <w:rsid w:val="00B254E5"/>
    <w:rsid w:val="00B25B9B"/>
    <w:rsid w:val="00B25B9F"/>
    <w:rsid w:val="00B2608F"/>
    <w:rsid w:val="00B26E85"/>
    <w:rsid w:val="00B27807"/>
    <w:rsid w:val="00B30835"/>
    <w:rsid w:val="00B31119"/>
    <w:rsid w:val="00B311C4"/>
    <w:rsid w:val="00B32DED"/>
    <w:rsid w:val="00B33089"/>
    <w:rsid w:val="00B335AB"/>
    <w:rsid w:val="00B3418B"/>
    <w:rsid w:val="00B34320"/>
    <w:rsid w:val="00B35967"/>
    <w:rsid w:val="00B35CE2"/>
    <w:rsid w:val="00B36D0D"/>
    <w:rsid w:val="00B36FD1"/>
    <w:rsid w:val="00B37297"/>
    <w:rsid w:val="00B378B0"/>
    <w:rsid w:val="00B378C2"/>
    <w:rsid w:val="00B421F0"/>
    <w:rsid w:val="00B43A45"/>
    <w:rsid w:val="00B43CC7"/>
    <w:rsid w:val="00B44A23"/>
    <w:rsid w:val="00B44CDE"/>
    <w:rsid w:val="00B45D91"/>
    <w:rsid w:val="00B45E1D"/>
    <w:rsid w:val="00B47688"/>
    <w:rsid w:val="00B47AC3"/>
    <w:rsid w:val="00B47AEC"/>
    <w:rsid w:val="00B503E0"/>
    <w:rsid w:val="00B53121"/>
    <w:rsid w:val="00B536EA"/>
    <w:rsid w:val="00B54166"/>
    <w:rsid w:val="00B5465B"/>
    <w:rsid w:val="00B54E24"/>
    <w:rsid w:val="00B55ED3"/>
    <w:rsid w:val="00B5695D"/>
    <w:rsid w:val="00B60314"/>
    <w:rsid w:val="00B614AE"/>
    <w:rsid w:val="00B64275"/>
    <w:rsid w:val="00B642D8"/>
    <w:rsid w:val="00B66524"/>
    <w:rsid w:val="00B665D6"/>
    <w:rsid w:val="00B66BCB"/>
    <w:rsid w:val="00B66D8A"/>
    <w:rsid w:val="00B674FF"/>
    <w:rsid w:val="00B6783D"/>
    <w:rsid w:val="00B678D2"/>
    <w:rsid w:val="00B67FFC"/>
    <w:rsid w:val="00B70791"/>
    <w:rsid w:val="00B7113D"/>
    <w:rsid w:val="00B71779"/>
    <w:rsid w:val="00B7220B"/>
    <w:rsid w:val="00B7380F"/>
    <w:rsid w:val="00B73C6E"/>
    <w:rsid w:val="00B7492B"/>
    <w:rsid w:val="00B75B5F"/>
    <w:rsid w:val="00B77621"/>
    <w:rsid w:val="00B77A8C"/>
    <w:rsid w:val="00B77EF0"/>
    <w:rsid w:val="00B81765"/>
    <w:rsid w:val="00B81C9A"/>
    <w:rsid w:val="00B828B4"/>
    <w:rsid w:val="00B8322B"/>
    <w:rsid w:val="00B839E8"/>
    <w:rsid w:val="00B83B6C"/>
    <w:rsid w:val="00B83D3D"/>
    <w:rsid w:val="00B853EC"/>
    <w:rsid w:val="00B87073"/>
    <w:rsid w:val="00B87FAA"/>
    <w:rsid w:val="00B90D33"/>
    <w:rsid w:val="00B91144"/>
    <w:rsid w:val="00B9186B"/>
    <w:rsid w:val="00B91E7E"/>
    <w:rsid w:val="00B922A7"/>
    <w:rsid w:val="00B925E6"/>
    <w:rsid w:val="00B92938"/>
    <w:rsid w:val="00B94075"/>
    <w:rsid w:val="00B94E32"/>
    <w:rsid w:val="00B95631"/>
    <w:rsid w:val="00B96128"/>
    <w:rsid w:val="00B96D3C"/>
    <w:rsid w:val="00B9740D"/>
    <w:rsid w:val="00B9789F"/>
    <w:rsid w:val="00B97BF2"/>
    <w:rsid w:val="00BA296D"/>
    <w:rsid w:val="00BA2A39"/>
    <w:rsid w:val="00BA3D4E"/>
    <w:rsid w:val="00BA47D1"/>
    <w:rsid w:val="00BA4EEF"/>
    <w:rsid w:val="00BA50CF"/>
    <w:rsid w:val="00BA5193"/>
    <w:rsid w:val="00BA58A5"/>
    <w:rsid w:val="00BA5FAB"/>
    <w:rsid w:val="00BA70C1"/>
    <w:rsid w:val="00BB326C"/>
    <w:rsid w:val="00BB3420"/>
    <w:rsid w:val="00BB3A96"/>
    <w:rsid w:val="00BB77E0"/>
    <w:rsid w:val="00BB7EB2"/>
    <w:rsid w:val="00BC003B"/>
    <w:rsid w:val="00BC0524"/>
    <w:rsid w:val="00BC060C"/>
    <w:rsid w:val="00BC0721"/>
    <w:rsid w:val="00BC1EB2"/>
    <w:rsid w:val="00BC308D"/>
    <w:rsid w:val="00BC3525"/>
    <w:rsid w:val="00BC40E8"/>
    <w:rsid w:val="00BC686F"/>
    <w:rsid w:val="00BC77F9"/>
    <w:rsid w:val="00BC7807"/>
    <w:rsid w:val="00BC7B9F"/>
    <w:rsid w:val="00BD2E8A"/>
    <w:rsid w:val="00BD3D87"/>
    <w:rsid w:val="00BD4F7E"/>
    <w:rsid w:val="00BD54BF"/>
    <w:rsid w:val="00BD558C"/>
    <w:rsid w:val="00BD5AF8"/>
    <w:rsid w:val="00BD734C"/>
    <w:rsid w:val="00BD762E"/>
    <w:rsid w:val="00BE077F"/>
    <w:rsid w:val="00BE0E44"/>
    <w:rsid w:val="00BE0F21"/>
    <w:rsid w:val="00BE11B4"/>
    <w:rsid w:val="00BE19D6"/>
    <w:rsid w:val="00BE35C2"/>
    <w:rsid w:val="00BE3F46"/>
    <w:rsid w:val="00BE4AEF"/>
    <w:rsid w:val="00BE500C"/>
    <w:rsid w:val="00BE5B81"/>
    <w:rsid w:val="00BE6091"/>
    <w:rsid w:val="00BE7E67"/>
    <w:rsid w:val="00BE7E7B"/>
    <w:rsid w:val="00BE7ED6"/>
    <w:rsid w:val="00BF03E3"/>
    <w:rsid w:val="00BF27DF"/>
    <w:rsid w:val="00BF4780"/>
    <w:rsid w:val="00BF4E2C"/>
    <w:rsid w:val="00BF4F64"/>
    <w:rsid w:val="00BF59D8"/>
    <w:rsid w:val="00BF61F5"/>
    <w:rsid w:val="00BF627F"/>
    <w:rsid w:val="00BF6E8B"/>
    <w:rsid w:val="00C026D4"/>
    <w:rsid w:val="00C03233"/>
    <w:rsid w:val="00C03E2A"/>
    <w:rsid w:val="00C04E8D"/>
    <w:rsid w:val="00C054C8"/>
    <w:rsid w:val="00C0555F"/>
    <w:rsid w:val="00C06A33"/>
    <w:rsid w:val="00C10711"/>
    <w:rsid w:val="00C10E79"/>
    <w:rsid w:val="00C11DE8"/>
    <w:rsid w:val="00C131EB"/>
    <w:rsid w:val="00C1367E"/>
    <w:rsid w:val="00C1387D"/>
    <w:rsid w:val="00C13899"/>
    <w:rsid w:val="00C139F9"/>
    <w:rsid w:val="00C1461E"/>
    <w:rsid w:val="00C14649"/>
    <w:rsid w:val="00C16954"/>
    <w:rsid w:val="00C175F9"/>
    <w:rsid w:val="00C179E0"/>
    <w:rsid w:val="00C2017E"/>
    <w:rsid w:val="00C20BC3"/>
    <w:rsid w:val="00C22865"/>
    <w:rsid w:val="00C23B4C"/>
    <w:rsid w:val="00C24326"/>
    <w:rsid w:val="00C25210"/>
    <w:rsid w:val="00C25684"/>
    <w:rsid w:val="00C256DD"/>
    <w:rsid w:val="00C26C3A"/>
    <w:rsid w:val="00C26E7A"/>
    <w:rsid w:val="00C26FBC"/>
    <w:rsid w:val="00C27867"/>
    <w:rsid w:val="00C302D5"/>
    <w:rsid w:val="00C32A20"/>
    <w:rsid w:val="00C338B1"/>
    <w:rsid w:val="00C33A53"/>
    <w:rsid w:val="00C34191"/>
    <w:rsid w:val="00C348B5"/>
    <w:rsid w:val="00C34F4C"/>
    <w:rsid w:val="00C3502D"/>
    <w:rsid w:val="00C35973"/>
    <w:rsid w:val="00C364A4"/>
    <w:rsid w:val="00C36D81"/>
    <w:rsid w:val="00C36F6D"/>
    <w:rsid w:val="00C40F57"/>
    <w:rsid w:val="00C415C9"/>
    <w:rsid w:val="00C41A61"/>
    <w:rsid w:val="00C42BBD"/>
    <w:rsid w:val="00C43198"/>
    <w:rsid w:val="00C4420C"/>
    <w:rsid w:val="00C4422C"/>
    <w:rsid w:val="00C47DD9"/>
    <w:rsid w:val="00C506B4"/>
    <w:rsid w:val="00C51668"/>
    <w:rsid w:val="00C519EC"/>
    <w:rsid w:val="00C52741"/>
    <w:rsid w:val="00C52808"/>
    <w:rsid w:val="00C54979"/>
    <w:rsid w:val="00C54CD0"/>
    <w:rsid w:val="00C56D3A"/>
    <w:rsid w:val="00C56F7D"/>
    <w:rsid w:val="00C60E83"/>
    <w:rsid w:val="00C6148C"/>
    <w:rsid w:val="00C61D63"/>
    <w:rsid w:val="00C63244"/>
    <w:rsid w:val="00C63D51"/>
    <w:rsid w:val="00C64198"/>
    <w:rsid w:val="00C64206"/>
    <w:rsid w:val="00C64574"/>
    <w:rsid w:val="00C65A2D"/>
    <w:rsid w:val="00C65AEB"/>
    <w:rsid w:val="00C66359"/>
    <w:rsid w:val="00C664DA"/>
    <w:rsid w:val="00C666F6"/>
    <w:rsid w:val="00C667D6"/>
    <w:rsid w:val="00C66C0B"/>
    <w:rsid w:val="00C66F28"/>
    <w:rsid w:val="00C67CBA"/>
    <w:rsid w:val="00C70878"/>
    <w:rsid w:val="00C70F8B"/>
    <w:rsid w:val="00C74CDC"/>
    <w:rsid w:val="00C75FC1"/>
    <w:rsid w:val="00C775A7"/>
    <w:rsid w:val="00C777BC"/>
    <w:rsid w:val="00C77862"/>
    <w:rsid w:val="00C77E5C"/>
    <w:rsid w:val="00C80251"/>
    <w:rsid w:val="00C81BBE"/>
    <w:rsid w:val="00C8278B"/>
    <w:rsid w:val="00C82ED7"/>
    <w:rsid w:val="00C83004"/>
    <w:rsid w:val="00C832BC"/>
    <w:rsid w:val="00C84978"/>
    <w:rsid w:val="00C84B64"/>
    <w:rsid w:val="00C84FAB"/>
    <w:rsid w:val="00C85F7E"/>
    <w:rsid w:val="00C8640E"/>
    <w:rsid w:val="00C86735"/>
    <w:rsid w:val="00C86809"/>
    <w:rsid w:val="00C86861"/>
    <w:rsid w:val="00C86D67"/>
    <w:rsid w:val="00C90294"/>
    <w:rsid w:val="00C90B0E"/>
    <w:rsid w:val="00C90D99"/>
    <w:rsid w:val="00C93876"/>
    <w:rsid w:val="00C95A1B"/>
    <w:rsid w:val="00C95D7A"/>
    <w:rsid w:val="00C96DDA"/>
    <w:rsid w:val="00C979CE"/>
    <w:rsid w:val="00C97FC0"/>
    <w:rsid w:val="00CA01F9"/>
    <w:rsid w:val="00CA03AF"/>
    <w:rsid w:val="00CA1FA6"/>
    <w:rsid w:val="00CA2DE4"/>
    <w:rsid w:val="00CA4272"/>
    <w:rsid w:val="00CA468F"/>
    <w:rsid w:val="00CA4743"/>
    <w:rsid w:val="00CA59E9"/>
    <w:rsid w:val="00CA5DFB"/>
    <w:rsid w:val="00CA655C"/>
    <w:rsid w:val="00CA6E2B"/>
    <w:rsid w:val="00CA728E"/>
    <w:rsid w:val="00CA748A"/>
    <w:rsid w:val="00CA7F7B"/>
    <w:rsid w:val="00CB092E"/>
    <w:rsid w:val="00CB23F6"/>
    <w:rsid w:val="00CB30A9"/>
    <w:rsid w:val="00CB369A"/>
    <w:rsid w:val="00CB3C1C"/>
    <w:rsid w:val="00CB47C8"/>
    <w:rsid w:val="00CB48DC"/>
    <w:rsid w:val="00CB5AEB"/>
    <w:rsid w:val="00CB675A"/>
    <w:rsid w:val="00CB79B3"/>
    <w:rsid w:val="00CC0BC7"/>
    <w:rsid w:val="00CC2F65"/>
    <w:rsid w:val="00CC30FE"/>
    <w:rsid w:val="00CC3151"/>
    <w:rsid w:val="00CC3979"/>
    <w:rsid w:val="00CC3BB8"/>
    <w:rsid w:val="00CC3F30"/>
    <w:rsid w:val="00CC42B9"/>
    <w:rsid w:val="00CC510F"/>
    <w:rsid w:val="00CC59A6"/>
    <w:rsid w:val="00CC67DB"/>
    <w:rsid w:val="00CC70B0"/>
    <w:rsid w:val="00CC7AAB"/>
    <w:rsid w:val="00CD0926"/>
    <w:rsid w:val="00CD24E0"/>
    <w:rsid w:val="00CD2DB5"/>
    <w:rsid w:val="00CD44F5"/>
    <w:rsid w:val="00CD4B8B"/>
    <w:rsid w:val="00CD50BB"/>
    <w:rsid w:val="00CD5593"/>
    <w:rsid w:val="00CD5812"/>
    <w:rsid w:val="00CD64C0"/>
    <w:rsid w:val="00CD7AD4"/>
    <w:rsid w:val="00CD7CC0"/>
    <w:rsid w:val="00CE0C2C"/>
    <w:rsid w:val="00CE2112"/>
    <w:rsid w:val="00CE3D11"/>
    <w:rsid w:val="00CE3FA7"/>
    <w:rsid w:val="00CE4507"/>
    <w:rsid w:val="00CE67C1"/>
    <w:rsid w:val="00CE74B1"/>
    <w:rsid w:val="00CE75A4"/>
    <w:rsid w:val="00CF0A9D"/>
    <w:rsid w:val="00CF1785"/>
    <w:rsid w:val="00CF295C"/>
    <w:rsid w:val="00CF2EDC"/>
    <w:rsid w:val="00CF35D2"/>
    <w:rsid w:val="00CF5620"/>
    <w:rsid w:val="00CF625D"/>
    <w:rsid w:val="00D00482"/>
    <w:rsid w:val="00D012C8"/>
    <w:rsid w:val="00D03671"/>
    <w:rsid w:val="00D04A38"/>
    <w:rsid w:val="00D058CB"/>
    <w:rsid w:val="00D05CC6"/>
    <w:rsid w:val="00D05D57"/>
    <w:rsid w:val="00D05EA7"/>
    <w:rsid w:val="00D104C2"/>
    <w:rsid w:val="00D120F8"/>
    <w:rsid w:val="00D1402E"/>
    <w:rsid w:val="00D146FE"/>
    <w:rsid w:val="00D14AE3"/>
    <w:rsid w:val="00D15FE8"/>
    <w:rsid w:val="00D16067"/>
    <w:rsid w:val="00D1751F"/>
    <w:rsid w:val="00D20391"/>
    <w:rsid w:val="00D20BBF"/>
    <w:rsid w:val="00D22078"/>
    <w:rsid w:val="00D221FC"/>
    <w:rsid w:val="00D2388C"/>
    <w:rsid w:val="00D25B2E"/>
    <w:rsid w:val="00D260B6"/>
    <w:rsid w:val="00D26B2F"/>
    <w:rsid w:val="00D276B4"/>
    <w:rsid w:val="00D30408"/>
    <w:rsid w:val="00D31055"/>
    <w:rsid w:val="00D325CF"/>
    <w:rsid w:val="00D32841"/>
    <w:rsid w:val="00D32C71"/>
    <w:rsid w:val="00D32CB0"/>
    <w:rsid w:val="00D347DD"/>
    <w:rsid w:val="00D37306"/>
    <w:rsid w:val="00D406C7"/>
    <w:rsid w:val="00D40991"/>
    <w:rsid w:val="00D40A25"/>
    <w:rsid w:val="00D40F05"/>
    <w:rsid w:val="00D41BD5"/>
    <w:rsid w:val="00D430C9"/>
    <w:rsid w:val="00D4385E"/>
    <w:rsid w:val="00D45816"/>
    <w:rsid w:val="00D45E4A"/>
    <w:rsid w:val="00D460B1"/>
    <w:rsid w:val="00D46440"/>
    <w:rsid w:val="00D46C56"/>
    <w:rsid w:val="00D47125"/>
    <w:rsid w:val="00D505AB"/>
    <w:rsid w:val="00D508E8"/>
    <w:rsid w:val="00D5125A"/>
    <w:rsid w:val="00D51FB3"/>
    <w:rsid w:val="00D526BE"/>
    <w:rsid w:val="00D5412F"/>
    <w:rsid w:val="00D55124"/>
    <w:rsid w:val="00D561A6"/>
    <w:rsid w:val="00D56F3E"/>
    <w:rsid w:val="00D60227"/>
    <w:rsid w:val="00D6157E"/>
    <w:rsid w:val="00D6185D"/>
    <w:rsid w:val="00D62127"/>
    <w:rsid w:val="00D62C11"/>
    <w:rsid w:val="00D63459"/>
    <w:rsid w:val="00D64F47"/>
    <w:rsid w:val="00D65C21"/>
    <w:rsid w:val="00D664C6"/>
    <w:rsid w:val="00D66D7C"/>
    <w:rsid w:val="00D6757D"/>
    <w:rsid w:val="00D6761C"/>
    <w:rsid w:val="00D705F1"/>
    <w:rsid w:val="00D73240"/>
    <w:rsid w:val="00D73F5C"/>
    <w:rsid w:val="00D7402A"/>
    <w:rsid w:val="00D74364"/>
    <w:rsid w:val="00D74566"/>
    <w:rsid w:val="00D747D6"/>
    <w:rsid w:val="00D75156"/>
    <w:rsid w:val="00D756BF"/>
    <w:rsid w:val="00D757DC"/>
    <w:rsid w:val="00D75C9B"/>
    <w:rsid w:val="00D76C26"/>
    <w:rsid w:val="00D76E40"/>
    <w:rsid w:val="00D76E7C"/>
    <w:rsid w:val="00D7714D"/>
    <w:rsid w:val="00D773C1"/>
    <w:rsid w:val="00D8154B"/>
    <w:rsid w:val="00D8176E"/>
    <w:rsid w:val="00D82137"/>
    <w:rsid w:val="00D82BD5"/>
    <w:rsid w:val="00D8477F"/>
    <w:rsid w:val="00D852BE"/>
    <w:rsid w:val="00D85618"/>
    <w:rsid w:val="00D85F70"/>
    <w:rsid w:val="00D86BF7"/>
    <w:rsid w:val="00D9087D"/>
    <w:rsid w:val="00D913A3"/>
    <w:rsid w:val="00D91C4A"/>
    <w:rsid w:val="00D929C0"/>
    <w:rsid w:val="00D9300C"/>
    <w:rsid w:val="00D930A9"/>
    <w:rsid w:val="00D97533"/>
    <w:rsid w:val="00D9786B"/>
    <w:rsid w:val="00DA0523"/>
    <w:rsid w:val="00DA22E6"/>
    <w:rsid w:val="00DA2B40"/>
    <w:rsid w:val="00DB0787"/>
    <w:rsid w:val="00DB1912"/>
    <w:rsid w:val="00DB30C8"/>
    <w:rsid w:val="00DB3988"/>
    <w:rsid w:val="00DB3B47"/>
    <w:rsid w:val="00DB4639"/>
    <w:rsid w:val="00DB5612"/>
    <w:rsid w:val="00DB5BB5"/>
    <w:rsid w:val="00DB712C"/>
    <w:rsid w:val="00DB7A13"/>
    <w:rsid w:val="00DC0297"/>
    <w:rsid w:val="00DC02B0"/>
    <w:rsid w:val="00DC0C0E"/>
    <w:rsid w:val="00DC0D17"/>
    <w:rsid w:val="00DC1FD4"/>
    <w:rsid w:val="00DC23FD"/>
    <w:rsid w:val="00DC2E0A"/>
    <w:rsid w:val="00DC4458"/>
    <w:rsid w:val="00DC49C6"/>
    <w:rsid w:val="00DC4AD6"/>
    <w:rsid w:val="00DC644C"/>
    <w:rsid w:val="00DC6638"/>
    <w:rsid w:val="00DC6A8C"/>
    <w:rsid w:val="00DD1197"/>
    <w:rsid w:val="00DD13AE"/>
    <w:rsid w:val="00DD2A50"/>
    <w:rsid w:val="00DD5F9C"/>
    <w:rsid w:val="00DD6CE3"/>
    <w:rsid w:val="00DD7E48"/>
    <w:rsid w:val="00DE192D"/>
    <w:rsid w:val="00DE1F69"/>
    <w:rsid w:val="00DE2DFD"/>
    <w:rsid w:val="00DE35B2"/>
    <w:rsid w:val="00DE3FC0"/>
    <w:rsid w:val="00DE4046"/>
    <w:rsid w:val="00DE4773"/>
    <w:rsid w:val="00DE4ADD"/>
    <w:rsid w:val="00DE6373"/>
    <w:rsid w:val="00DE6AED"/>
    <w:rsid w:val="00DE7318"/>
    <w:rsid w:val="00DE7FB8"/>
    <w:rsid w:val="00DF03C9"/>
    <w:rsid w:val="00DF04FD"/>
    <w:rsid w:val="00DF0929"/>
    <w:rsid w:val="00DF09DE"/>
    <w:rsid w:val="00DF1547"/>
    <w:rsid w:val="00DF1C20"/>
    <w:rsid w:val="00DF44C0"/>
    <w:rsid w:val="00DF4B58"/>
    <w:rsid w:val="00DF5F2A"/>
    <w:rsid w:val="00DF62B8"/>
    <w:rsid w:val="00DF6A6E"/>
    <w:rsid w:val="00DF6AB0"/>
    <w:rsid w:val="00DF7865"/>
    <w:rsid w:val="00DF7F63"/>
    <w:rsid w:val="00E01C4E"/>
    <w:rsid w:val="00E02466"/>
    <w:rsid w:val="00E0356E"/>
    <w:rsid w:val="00E055A1"/>
    <w:rsid w:val="00E060A8"/>
    <w:rsid w:val="00E066F1"/>
    <w:rsid w:val="00E07168"/>
    <w:rsid w:val="00E07D87"/>
    <w:rsid w:val="00E07FB8"/>
    <w:rsid w:val="00E10C16"/>
    <w:rsid w:val="00E10EF6"/>
    <w:rsid w:val="00E13027"/>
    <w:rsid w:val="00E1408C"/>
    <w:rsid w:val="00E143FB"/>
    <w:rsid w:val="00E144AE"/>
    <w:rsid w:val="00E167AA"/>
    <w:rsid w:val="00E17552"/>
    <w:rsid w:val="00E21E43"/>
    <w:rsid w:val="00E2219D"/>
    <w:rsid w:val="00E22A98"/>
    <w:rsid w:val="00E22E23"/>
    <w:rsid w:val="00E23244"/>
    <w:rsid w:val="00E23FC5"/>
    <w:rsid w:val="00E241A9"/>
    <w:rsid w:val="00E24206"/>
    <w:rsid w:val="00E25651"/>
    <w:rsid w:val="00E25C28"/>
    <w:rsid w:val="00E32262"/>
    <w:rsid w:val="00E33FC9"/>
    <w:rsid w:val="00E34530"/>
    <w:rsid w:val="00E34A0D"/>
    <w:rsid w:val="00E34DCD"/>
    <w:rsid w:val="00E358BE"/>
    <w:rsid w:val="00E35FC9"/>
    <w:rsid w:val="00E3693B"/>
    <w:rsid w:val="00E36C61"/>
    <w:rsid w:val="00E36CE8"/>
    <w:rsid w:val="00E37B60"/>
    <w:rsid w:val="00E401E3"/>
    <w:rsid w:val="00E40E06"/>
    <w:rsid w:val="00E42D8B"/>
    <w:rsid w:val="00E42E4E"/>
    <w:rsid w:val="00E43632"/>
    <w:rsid w:val="00E44545"/>
    <w:rsid w:val="00E44ABA"/>
    <w:rsid w:val="00E44E57"/>
    <w:rsid w:val="00E45116"/>
    <w:rsid w:val="00E4543D"/>
    <w:rsid w:val="00E4565E"/>
    <w:rsid w:val="00E45F04"/>
    <w:rsid w:val="00E46785"/>
    <w:rsid w:val="00E47320"/>
    <w:rsid w:val="00E5003B"/>
    <w:rsid w:val="00E501A1"/>
    <w:rsid w:val="00E50394"/>
    <w:rsid w:val="00E50828"/>
    <w:rsid w:val="00E5119A"/>
    <w:rsid w:val="00E5236A"/>
    <w:rsid w:val="00E5407F"/>
    <w:rsid w:val="00E54173"/>
    <w:rsid w:val="00E543DE"/>
    <w:rsid w:val="00E54C55"/>
    <w:rsid w:val="00E54EB5"/>
    <w:rsid w:val="00E56198"/>
    <w:rsid w:val="00E56A9B"/>
    <w:rsid w:val="00E60F45"/>
    <w:rsid w:val="00E61535"/>
    <w:rsid w:val="00E6307F"/>
    <w:rsid w:val="00E635A3"/>
    <w:rsid w:val="00E65EEC"/>
    <w:rsid w:val="00E6746B"/>
    <w:rsid w:val="00E67EA8"/>
    <w:rsid w:val="00E7021E"/>
    <w:rsid w:val="00E7049A"/>
    <w:rsid w:val="00E709E2"/>
    <w:rsid w:val="00E718CE"/>
    <w:rsid w:val="00E71D89"/>
    <w:rsid w:val="00E721A8"/>
    <w:rsid w:val="00E72B82"/>
    <w:rsid w:val="00E733CA"/>
    <w:rsid w:val="00E7367F"/>
    <w:rsid w:val="00E73A21"/>
    <w:rsid w:val="00E73D9A"/>
    <w:rsid w:val="00E74F6E"/>
    <w:rsid w:val="00E76E29"/>
    <w:rsid w:val="00E77E6E"/>
    <w:rsid w:val="00E802BD"/>
    <w:rsid w:val="00E81266"/>
    <w:rsid w:val="00E81BB3"/>
    <w:rsid w:val="00E81C32"/>
    <w:rsid w:val="00E825AF"/>
    <w:rsid w:val="00E829F0"/>
    <w:rsid w:val="00E83624"/>
    <w:rsid w:val="00E8571A"/>
    <w:rsid w:val="00E8596E"/>
    <w:rsid w:val="00E86F8B"/>
    <w:rsid w:val="00E878D8"/>
    <w:rsid w:val="00E90847"/>
    <w:rsid w:val="00E91418"/>
    <w:rsid w:val="00E91F19"/>
    <w:rsid w:val="00E930D0"/>
    <w:rsid w:val="00E93ECB"/>
    <w:rsid w:val="00E94239"/>
    <w:rsid w:val="00E9482A"/>
    <w:rsid w:val="00E95551"/>
    <w:rsid w:val="00E959E6"/>
    <w:rsid w:val="00E969DA"/>
    <w:rsid w:val="00E969E6"/>
    <w:rsid w:val="00E97004"/>
    <w:rsid w:val="00EA0BE2"/>
    <w:rsid w:val="00EA0E82"/>
    <w:rsid w:val="00EA14CD"/>
    <w:rsid w:val="00EA2865"/>
    <w:rsid w:val="00EA305B"/>
    <w:rsid w:val="00EA3748"/>
    <w:rsid w:val="00EA3B7F"/>
    <w:rsid w:val="00EA3D18"/>
    <w:rsid w:val="00EA5288"/>
    <w:rsid w:val="00EA52A1"/>
    <w:rsid w:val="00EA52F0"/>
    <w:rsid w:val="00EA54CF"/>
    <w:rsid w:val="00EA5DD5"/>
    <w:rsid w:val="00EB0431"/>
    <w:rsid w:val="00EB2838"/>
    <w:rsid w:val="00EB296F"/>
    <w:rsid w:val="00EB2EB3"/>
    <w:rsid w:val="00EB4D7D"/>
    <w:rsid w:val="00EB5258"/>
    <w:rsid w:val="00EB57A4"/>
    <w:rsid w:val="00EB6120"/>
    <w:rsid w:val="00EB739A"/>
    <w:rsid w:val="00EC0A27"/>
    <w:rsid w:val="00EC154A"/>
    <w:rsid w:val="00EC281E"/>
    <w:rsid w:val="00EC357B"/>
    <w:rsid w:val="00EC3C29"/>
    <w:rsid w:val="00EC3F73"/>
    <w:rsid w:val="00EC6874"/>
    <w:rsid w:val="00ED0F56"/>
    <w:rsid w:val="00ED1DC4"/>
    <w:rsid w:val="00ED1FA4"/>
    <w:rsid w:val="00ED41CD"/>
    <w:rsid w:val="00ED4A87"/>
    <w:rsid w:val="00ED502D"/>
    <w:rsid w:val="00ED52F8"/>
    <w:rsid w:val="00ED6932"/>
    <w:rsid w:val="00ED7107"/>
    <w:rsid w:val="00ED76D7"/>
    <w:rsid w:val="00ED79EE"/>
    <w:rsid w:val="00ED7A3B"/>
    <w:rsid w:val="00ED7C74"/>
    <w:rsid w:val="00EE0FFF"/>
    <w:rsid w:val="00EE1779"/>
    <w:rsid w:val="00EE3879"/>
    <w:rsid w:val="00EE4A19"/>
    <w:rsid w:val="00EE5477"/>
    <w:rsid w:val="00EE5B6E"/>
    <w:rsid w:val="00EE6D89"/>
    <w:rsid w:val="00EF1024"/>
    <w:rsid w:val="00EF117B"/>
    <w:rsid w:val="00EF1392"/>
    <w:rsid w:val="00EF1A95"/>
    <w:rsid w:val="00EF1DB3"/>
    <w:rsid w:val="00EF1E04"/>
    <w:rsid w:val="00EF2A21"/>
    <w:rsid w:val="00EF3877"/>
    <w:rsid w:val="00EF414C"/>
    <w:rsid w:val="00F00128"/>
    <w:rsid w:val="00F00859"/>
    <w:rsid w:val="00F00FBC"/>
    <w:rsid w:val="00F01A63"/>
    <w:rsid w:val="00F02624"/>
    <w:rsid w:val="00F02E4B"/>
    <w:rsid w:val="00F05F8A"/>
    <w:rsid w:val="00F0661A"/>
    <w:rsid w:val="00F06825"/>
    <w:rsid w:val="00F06BEB"/>
    <w:rsid w:val="00F1012B"/>
    <w:rsid w:val="00F10193"/>
    <w:rsid w:val="00F10397"/>
    <w:rsid w:val="00F10593"/>
    <w:rsid w:val="00F1063A"/>
    <w:rsid w:val="00F11337"/>
    <w:rsid w:val="00F161F5"/>
    <w:rsid w:val="00F16525"/>
    <w:rsid w:val="00F228FD"/>
    <w:rsid w:val="00F22FB5"/>
    <w:rsid w:val="00F25C0D"/>
    <w:rsid w:val="00F270EA"/>
    <w:rsid w:val="00F27947"/>
    <w:rsid w:val="00F27F09"/>
    <w:rsid w:val="00F302BC"/>
    <w:rsid w:val="00F3050C"/>
    <w:rsid w:val="00F30BEB"/>
    <w:rsid w:val="00F32BDE"/>
    <w:rsid w:val="00F32D90"/>
    <w:rsid w:val="00F32E18"/>
    <w:rsid w:val="00F32EB2"/>
    <w:rsid w:val="00F3493D"/>
    <w:rsid w:val="00F3541D"/>
    <w:rsid w:val="00F35C53"/>
    <w:rsid w:val="00F365F1"/>
    <w:rsid w:val="00F3677E"/>
    <w:rsid w:val="00F368CF"/>
    <w:rsid w:val="00F36999"/>
    <w:rsid w:val="00F37826"/>
    <w:rsid w:val="00F41027"/>
    <w:rsid w:val="00F44217"/>
    <w:rsid w:val="00F443BF"/>
    <w:rsid w:val="00F4451C"/>
    <w:rsid w:val="00F452BB"/>
    <w:rsid w:val="00F460D3"/>
    <w:rsid w:val="00F46CAA"/>
    <w:rsid w:val="00F47A9D"/>
    <w:rsid w:val="00F47BC3"/>
    <w:rsid w:val="00F47EC7"/>
    <w:rsid w:val="00F51A16"/>
    <w:rsid w:val="00F523FA"/>
    <w:rsid w:val="00F52983"/>
    <w:rsid w:val="00F52F22"/>
    <w:rsid w:val="00F53995"/>
    <w:rsid w:val="00F55ACE"/>
    <w:rsid w:val="00F561C7"/>
    <w:rsid w:val="00F56221"/>
    <w:rsid w:val="00F579DD"/>
    <w:rsid w:val="00F60010"/>
    <w:rsid w:val="00F607EE"/>
    <w:rsid w:val="00F6120A"/>
    <w:rsid w:val="00F61E65"/>
    <w:rsid w:val="00F6251C"/>
    <w:rsid w:val="00F63077"/>
    <w:rsid w:val="00F64090"/>
    <w:rsid w:val="00F6481F"/>
    <w:rsid w:val="00F65AB3"/>
    <w:rsid w:val="00F65CCD"/>
    <w:rsid w:val="00F664EB"/>
    <w:rsid w:val="00F665FA"/>
    <w:rsid w:val="00F66E00"/>
    <w:rsid w:val="00F6761B"/>
    <w:rsid w:val="00F7160C"/>
    <w:rsid w:val="00F72381"/>
    <w:rsid w:val="00F73502"/>
    <w:rsid w:val="00F74FA9"/>
    <w:rsid w:val="00F758BA"/>
    <w:rsid w:val="00F77543"/>
    <w:rsid w:val="00F77F16"/>
    <w:rsid w:val="00F83265"/>
    <w:rsid w:val="00F8354A"/>
    <w:rsid w:val="00F84992"/>
    <w:rsid w:val="00F85543"/>
    <w:rsid w:val="00F86DD0"/>
    <w:rsid w:val="00F86ECD"/>
    <w:rsid w:val="00F86F51"/>
    <w:rsid w:val="00F871B7"/>
    <w:rsid w:val="00F915DB"/>
    <w:rsid w:val="00F92038"/>
    <w:rsid w:val="00F92227"/>
    <w:rsid w:val="00F92368"/>
    <w:rsid w:val="00F9279A"/>
    <w:rsid w:val="00F9348C"/>
    <w:rsid w:val="00F93591"/>
    <w:rsid w:val="00F93836"/>
    <w:rsid w:val="00F9480A"/>
    <w:rsid w:val="00F94901"/>
    <w:rsid w:val="00F94ACC"/>
    <w:rsid w:val="00F95E2A"/>
    <w:rsid w:val="00FA08A1"/>
    <w:rsid w:val="00FA253F"/>
    <w:rsid w:val="00FA2B37"/>
    <w:rsid w:val="00FA33DB"/>
    <w:rsid w:val="00FA36EB"/>
    <w:rsid w:val="00FA3C18"/>
    <w:rsid w:val="00FA3E59"/>
    <w:rsid w:val="00FA57B4"/>
    <w:rsid w:val="00FA589D"/>
    <w:rsid w:val="00FA6B0A"/>
    <w:rsid w:val="00FA6C2B"/>
    <w:rsid w:val="00FA7AB8"/>
    <w:rsid w:val="00FA7FA3"/>
    <w:rsid w:val="00FB32CD"/>
    <w:rsid w:val="00FB3635"/>
    <w:rsid w:val="00FB469C"/>
    <w:rsid w:val="00FB4D68"/>
    <w:rsid w:val="00FB76EE"/>
    <w:rsid w:val="00FB7BB1"/>
    <w:rsid w:val="00FC0141"/>
    <w:rsid w:val="00FC0FBC"/>
    <w:rsid w:val="00FC1116"/>
    <w:rsid w:val="00FC1625"/>
    <w:rsid w:val="00FC298D"/>
    <w:rsid w:val="00FC2BBF"/>
    <w:rsid w:val="00FC3AE5"/>
    <w:rsid w:val="00FC4002"/>
    <w:rsid w:val="00FC4FBC"/>
    <w:rsid w:val="00FC5DB4"/>
    <w:rsid w:val="00FC61F6"/>
    <w:rsid w:val="00FC6F4D"/>
    <w:rsid w:val="00FD0B2D"/>
    <w:rsid w:val="00FD0C6E"/>
    <w:rsid w:val="00FD1764"/>
    <w:rsid w:val="00FD29F5"/>
    <w:rsid w:val="00FD2ACF"/>
    <w:rsid w:val="00FD2B1F"/>
    <w:rsid w:val="00FD30EE"/>
    <w:rsid w:val="00FD3124"/>
    <w:rsid w:val="00FD32EA"/>
    <w:rsid w:val="00FD4662"/>
    <w:rsid w:val="00FD4B16"/>
    <w:rsid w:val="00FD5240"/>
    <w:rsid w:val="00FD5D28"/>
    <w:rsid w:val="00FD5EC8"/>
    <w:rsid w:val="00FD720C"/>
    <w:rsid w:val="00FD7367"/>
    <w:rsid w:val="00FD73FA"/>
    <w:rsid w:val="00FE0754"/>
    <w:rsid w:val="00FE07E5"/>
    <w:rsid w:val="00FE2566"/>
    <w:rsid w:val="00FE262F"/>
    <w:rsid w:val="00FE275E"/>
    <w:rsid w:val="00FE2FE8"/>
    <w:rsid w:val="00FE309A"/>
    <w:rsid w:val="00FE370E"/>
    <w:rsid w:val="00FE4DA1"/>
    <w:rsid w:val="00FE4E13"/>
    <w:rsid w:val="00FE5B34"/>
    <w:rsid w:val="00FE615C"/>
    <w:rsid w:val="00FE638F"/>
    <w:rsid w:val="00FE6638"/>
    <w:rsid w:val="00FE6CF1"/>
    <w:rsid w:val="00FF0049"/>
    <w:rsid w:val="00FF0824"/>
    <w:rsid w:val="00FF0BB7"/>
    <w:rsid w:val="00FF15F3"/>
    <w:rsid w:val="00FF1994"/>
    <w:rsid w:val="00FF19D2"/>
    <w:rsid w:val="00FF296C"/>
    <w:rsid w:val="00FF3181"/>
    <w:rsid w:val="00FF32D9"/>
    <w:rsid w:val="00FF3379"/>
    <w:rsid w:val="00FF3720"/>
    <w:rsid w:val="00FF403E"/>
    <w:rsid w:val="00FF7FC3"/>
    <w:rsid w:val="0278F732"/>
    <w:rsid w:val="0311A105"/>
    <w:rsid w:val="03EB6B25"/>
    <w:rsid w:val="042CFBC9"/>
    <w:rsid w:val="06E75286"/>
    <w:rsid w:val="072AAB66"/>
    <w:rsid w:val="083B8CB0"/>
    <w:rsid w:val="09489419"/>
    <w:rsid w:val="0C3EE5B6"/>
    <w:rsid w:val="0D72EF55"/>
    <w:rsid w:val="0D833564"/>
    <w:rsid w:val="0E0189BA"/>
    <w:rsid w:val="0E39F1B0"/>
    <w:rsid w:val="0E689E61"/>
    <w:rsid w:val="0E983765"/>
    <w:rsid w:val="105F4727"/>
    <w:rsid w:val="1153FA25"/>
    <w:rsid w:val="1206D539"/>
    <w:rsid w:val="12F5160A"/>
    <w:rsid w:val="148D7816"/>
    <w:rsid w:val="168181FB"/>
    <w:rsid w:val="19ED2C55"/>
    <w:rsid w:val="1B9A382A"/>
    <w:rsid w:val="1F4ADF28"/>
    <w:rsid w:val="202432F9"/>
    <w:rsid w:val="238D9995"/>
    <w:rsid w:val="2A35C79C"/>
    <w:rsid w:val="2A733B03"/>
    <w:rsid w:val="2A831463"/>
    <w:rsid w:val="2DDB88AF"/>
    <w:rsid w:val="315520D4"/>
    <w:rsid w:val="3523C1B7"/>
    <w:rsid w:val="371BD1C8"/>
    <w:rsid w:val="3A0EC660"/>
    <w:rsid w:val="3AD43B14"/>
    <w:rsid w:val="4020F427"/>
    <w:rsid w:val="4058431E"/>
    <w:rsid w:val="4167037D"/>
    <w:rsid w:val="44AA8324"/>
    <w:rsid w:val="46DD9F5D"/>
    <w:rsid w:val="4CF23715"/>
    <w:rsid w:val="4CFE3C24"/>
    <w:rsid w:val="4D29560B"/>
    <w:rsid w:val="4DCD985F"/>
    <w:rsid w:val="4E79D0EB"/>
    <w:rsid w:val="4E9C648C"/>
    <w:rsid w:val="4F0B66F7"/>
    <w:rsid w:val="4F46E19A"/>
    <w:rsid w:val="53B6AC07"/>
    <w:rsid w:val="5525C165"/>
    <w:rsid w:val="55922C7F"/>
    <w:rsid w:val="56B80FE7"/>
    <w:rsid w:val="592B2D60"/>
    <w:rsid w:val="59682DCD"/>
    <w:rsid w:val="597AB971"/>
    <w:rsid w:val="5BD298BD"/>
    <w:rsid w:val="5C24B871"/>
    <w:rsid w:val="5D633165"/>
    <w:rsid w:val="5F60CDD5"/>
    <w:rsid w:val="60D32F89"/>
    <w:rsid w:val="61BC5B56"/>
    <w:rsid w:val="654D209E"/>
    <w:rsid w:val="6623499D"/>
    <w:rsid w:val="66F13438"/>
    <w:rsid w:val="68CD0D5F"/>
    <w:rsid w:val="6B3A526B"/>
    <w:rsid w:val="6C42D1CB"/>
    <w:rsid w:val="6DAC5E1E"/>
    <w:rsid w:val="72B043DD"/>
    <w:rsid w:val="73040C87"/>
    <w:rsid w:val="759A9BC6"/>
    <w:rsid w:val="77FCCA12"/>
    <w:rsid w:val="78074898"/>
    <w:rsid w:val="7A799E9A"/>
    <w:rsid w:val="7D5337E1"/>
    <w:rsid w:val="7E9569A1"/>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540C"/>
  <w15:chartTrackingRefBased/>
  <w15:docId w15:val="{8252CD90-A6E2-4243-8EFE-AF8CDBFB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EF"/>
    <w:rPr>
      <w:rFonts w:ascii="Arial" w:hAnsi="Arial"/>
      <w:szCs w:val="22"/>
      <w:lang w:eastAsia="en-US"/>
    </w:rPr>
  </w:style>
  <w:style w:type="paragraph" w:styleId="Heading1">
    <w:name w:val="heading 1"/>
    <w:basedOn w:val="Normal"/>
    <w:next w:val="Normal"/>
    <w:link w:val="Heading1Char"/>
    <w:uiPriority w:val="9"/>
    <w:qFormat/>
    <w:rsid w:val="009007F4"/>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68FA"/>
    <w:pPr>
      <w:keepNext/>
      <w:keepLines/>
      <w:spacing w:before="120" w:after="120"/>
      <w:jc w:val="both"/>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841"/>
    <w:rPr>
      <w:rFonts w:ascii="Tahoma" w:hAnsi="Tahoma" w:cs="Tahoma"/>
      <w:sz w:val="16"/>
      <w:szCs w:val="16"/>
    </w:rPr>
  </w:style>
  <w:style w:type="character" w:customStyle="1" w:styleId="BalloonTextChar">
    <w:name w:val="Balloon Text Char"/>
    <w:link w:val="BalloonText"/>
    <w:uiPriority w:val="99"/>
    <w:semiHidden/>
    <w:rsid w:val="00327841"/>
    <w:rPr>
      <w:rFonts w:ascii="Tahoma" w:hAnsi="Tahoma" w:cs="Tahoma"/>
      <w:sz w:val="16"/>
      <w:szCs w:val="16"/>
    </w:rPr>
  </w:style>
  <w:style w:type="table" w:styleId="TableGrid">
    <w:name w:val="Table Grid"/>
    <w:basedOn w:val="TableNormal"/>
    <w:uiPriority w:val="39"/>
    <w:rsid w:val="00212C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372FA"/>
    <w:pPr>
      <w:tabs>
        <w:tab w:val="center" w:pos="4536"/>
        <w:tab w:val="right" w:pos="9072"/>
      </w:tabs>
    </w:pPr>
  </w:style>
  <w:style w:type="character" w:customStyle="1" w:styleId="HeaderChar">
    <w:name w:val="Header Char"/>
    <w:link w:val="Header"/>
    <w:uiPriority w:val="99"/>
    <w:rsid w:val="006372FA"/>
    <w:rPr>
      <w:rFonts w:ascii="Arial" w:hAnsi="Arial"/>
      <w:szCs w:val="22"/>
      <w:lang w:eastAsia="en-US"/>
    </w:rPr>
  </w:style>
  <w:style w:type="paragraph" w:styleId="Footer">
    <w:name w:val="footer"/>
    <w:basedOn w:val="Normal"/>
    <w:link w:val="FooterChar"/>
    <w:uiPriority w:val="99"/>
    <w:unhideWhenUsed/>
    <w:rsid w:val="006372FA"/>
    <w:pPr>
      <w:tabs>
        <w:tab w:val="center" w:pos="4536"/>
        <w:tab w:val="right" w:pos="9072"/>
      </w:tabs>
    </w:pPr>
  </w:style>
  <w:style w:type="character" w:customStyle="1" w:styleId="FooterChar">
    <w:name w:val="Footer Char"/>
    <w:link w:val="Footer"/>
    <w:uiPriority w:val="99"/>
    <w:rsid w:val="006372FA"/>
    <w:rPr>
      <w:rFonts w:ascii="Arial" w:hAnsi="Arial"/>
      <w:szCs w:val="22"/>
      <w:lang w:eastAsia="en-US"/>
    </w:rPr>
  </w:style>
  <w:style w:type="character" w:customStyle="1" w:styleId="Heading1Char">
    <w:name w:val="Heading 1 Char"/>
    <w:basedOn w:val="DefaultParagraphFont"/>
    <w:link w:val="Heading1"/>
    <w:uiPriority w:val="9"/>
    <w:rsid w:val="009007F4"/>
    <w:rPr>
      <w:rFonts w:ascii="Arial" w:eastAsiaTheme="majorEastAsia" w:hAnsi="Arial" w:cstheme="majorBidi"/>
      <w:b/>
      <w:sz w:val="24"/>
      <w:szCs w:val="32"/>
      <w:lang w:eastAsia="en-US"/>
    </w:rPr>
  </w:style>
  <w:style w:type="paragraph" w:styleId="TOCHeading">
    <w:name w:val="TOC Heading"/>
    <w:basedOn w:val="Heading1"/>
    <w:next w:val="Normal"/>
    <w:uiPriority w:val="39"/>
    <w:unhideWhenUsed/>
    <w:qFormat/>
    <w:rsid w:val="009007F4"/>
    <w:pPr>
      <w:spacing w:line="259" w:lineRule="auto"/>
      <w:outlineLvl w:val="9"/>
    </w:pPr>
    <w:rPr>
      <w:rFonts w:asciiTheme="majorHAnsi" w:hAnsiTheme="majorHAnsi"/>
      <w:b w:val="0"/>
      <w:color w:val="2F5496" w:themeColor="accent1" w:themeShade="BF"/>
      <w:sz w:val="32"/>
      <w:lang w:eastAsia="hr-HR"/>
    </w:rPr>
  </w:style>
  <w:style w:type="paragraph" w:styleId="TOC1">
    <w:name w:val="toc 1"/>
    <w:basedOn w:val="Normal"/>
    <w:next w:val="Normal"/>
    <w:autoRedefine/>
    <w:uiPriority w:val="39"/>
    <w:unhideWhenUsed/>
    <w:rsid w:val="001E69DE"/>
    <w:pPr>
      <w:tabs>
        <w:tab w:val="left" w:pos="480"/>
        <w:tab w:val="right" w:leader="dot" w:pos="9737"/>
      </w:tabs>
      <w:spacing w:after="120" w:line="276" w:lineRule="auto"/>
    </w:pPr>
  </w:style>
  <w:style w:type="character" w:styleId="Hyperlink">
    <w:name w:val="Hyperlink"/>
    <w:basedOn w:val="DefaultParagraphFont"/>
    <w:uiPriority w:val="99"/>
    <w:unhideWhenUsed/>
    <w:rsid w:val="009007F4"/>
    <w:rPr>
      <w:color w:val="0563C1" w:themeColor="hyperlink"/>
      <w:u w:val="single"/>
    </w:rPr>
  </w:style>
  <w:style w:type="paragraph" w:styleId="ListParagraph">
    <w:name w:val="List Paragraph"/>
    <w:aliases w:val="3,Akapit z listą BS,Bullet1,Bullets,Ha,Heading 11,IBL List Paragraph,L,List Paragraph (numbered (a)),List Paragraph 1,List Paragraph nowy,List Paragraph-ExecSummary,List_Paragraph,Liste 1,Multilevel para_II,ReferencesCxSpLast,l,lp1,본문(내용)"/>
    <w:basedOn w:val="Normal"/>
    <w:link w:val="ListParagraphChar"/>
    <w:uiPriority w:val="34"/>
    <w:qFormat/>
    <w:rsid w:val="00547E97"/>
    <w:pPr>
      <w:ind w:left="720"/>
      <w:contextualSpacing/>
    </w:pPr>
  </w:style>
  <w:style w:type="paragraph" w:customStyle="1" w:styleId="Stavci">
    <w:name w:val="Stavci"/>
    <w:basedOn w:val="Normal"/>
    <w:link w:val="StavciChar"/>
    <w:qFormat/>
    <w:rsid w:val="00467261"/>
    <w:pPr>
      <w:numPr>
        <w:numId w:val="2"/>
      </w:numPr>
      <w:spacing w:before="120"/>
      <w:jc w:val="both"/>
    </w:pPr>
    <w:rPr>
      <w:rFonts w:ascii="Times New Roman" w:hAnsi="Times New Roman"/>
      <w:sz w:val="24"/>
      <w:szCs w:val="24"/>
    </w:rPr>
  </w:style>
  <w:style w:type="character" w:customStyle="1" w:styleId="StavciChar">
    <w:name w:val="Stavci Char"/>
    <w:link w:val="Stavci"/>
    <w:rsid w:val="00467261"/>
    <w:rPr>
      <w:rFonts w:ascii="Times New Roman" w:hAnsi="Times New Roman"/>
      <w:sz w:val="24"/>
      <w:szCs w:val="24"/>
      <w:lang w:eastAsia="en-US"/>
    </w:rPr>
  </w:style>
  <w:style w:type="paragraph" w:styleId="FootnoteText">
    <w:name w:val="footnote text"/>
    <w:aliases w:val="Car,Fußnote,Podrozdział,Fußnotentextf,Footnote Text Char Char,single space,footnote text,FOOTNOTES,fn,stile 1,Footnote,Footnote1,Footnote2,Footnote3,Footnote4,Footnote5,Footnote6,Footnote7,Footnote8,Footnote9,Footnote10,f,Footnote text,ft"/>
    <w:basedOn w:val="Normal"/>
    <w:link w:val="FootnoteTextChar"/>
    <w:uiPriority w:val="99"/>
    <w:qFormat/>
    <w:rsid w:val="00883386"/>
    <w:pPr>
      <w:spacing w:line="276" w:lineRule="auto"/>
      <w:jc w:val="both"/>
    </w:pPr>
    <w:rPr>
      <w:rFonts w:eastAsia="Times New Roman" w:cs="Arial"/>
      <w:szCs w:val="20"/>
      <w:lang w:eastAsia="hr-HR"/>
    </w:rPr>
  </w:style>
  <w:style w:type="character" w:customStyle="1" w:styleId="FootnoteTextChar">
    <w:name w:val="Footnote Text Char"/>
    <w:aliases w:val="Car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883386"/>
    <w:rPr>
      <w:rFonts w:ascii="Arial" w:eastAsia="Times New Roman" w:hAnsi="Arial" w:cs="Arial"/>
    </w:rPr>
  </w:style>
  <w:style w:type="character" w:styleId="FootnoteReference">
    <w:name w:val="footnote reference"/>
    <w:aliases w:val="ftref,stylish,BVI fnr, BVI fnr, BVI fnr Car Car,BVI fnr Car, BVI fnr Car Car Car Car, BVI fnr Car Car Car Car Char,BVI fnr Car Car,BVI fnr Car Car Car Car,BVI fnr Car Car Car Car Char,BVI fnr Car Char1 Char,BVI fnr Car Car Char1 Char"/>
    <w:link w:val="Char2"/>
    <w:uiPriority w:val="99"/>
    <w:qFormat/>
    <w:rsid w:val="00883386"/>
    <w:rPr>
      <w:vertAlign w:val="superscript"/>
    </w:rPr>
  </w:style>
  <w:style w:type="character" w:customStyle="1" w:styleId="ListParagraphChar">
    <w:name w:val="List Paragraph Char"/>
    <w:aliases w:val="3 Char,Akapit z listą BS Char,Bullet1 Char,Bullets Char,Ha Char,Heading 11 Char,IBL List Paragraph Char,L Char,List Paragraph (numbered (a)) Char,List Paragraph 1 Char,List Paragraph nowy Char,List Paragraph-ExecSummary Char,l Char"/>
    <w:link w:val="ListParagraph"/>
    <w:uiPriority w:val="34"/>
    <w:qFormat/>
    <w:locked/>
    <w:rsid w:val="00883386"/>
    <w:rPr>
      <w:rFonts w:ascii="Arial" w:hAnsi="Arial"/>
      <w:szCs w:val="22"/>
      <w:lang w:eastAsia="en-US"/>
    </w:rPr>
  </w:style>
  <w:style w:type="character" w:customStyle="1" w:styleId="Heading2Char">
    <w:name w:val="Heading 2 Char"/>
    <w:basedOn w:val="DefaultParagraphFont"/>
    <w:link w:val="Heading2"/>
    <w:uiPriority w:val="9"/>
    <w:rsid w:val="005468FA"/>
    <w:rPr>
      <w:rFonts w:ascii="Arial" w:eastAsiaTheme="majorEastAsia" w:hAnsi="Arial" w:cstheme="majorBidi"/>
      <w:b/>
      <w:szCs w:val="26"/>
      <w:lang w:eastAsia="en-US"/>
    </w:rPr>
  </w:style>
  <w:style w:type="character" w:styleId="CommentReference">
    <w:name w:val="annotation reference"/>
    <w:basedOn w:val="DefaultParagraphFont"/>
    <w:uiPriority w:val="99"/>
    <w:unhideWhenUsed/>
    <w:rsid w:val="00AB7E91"/>
    <w:rPr>
      <w:sz w:val="16"/>
      <w:szCs w:val="16"/>
    </w:rPr>
  </w:style>
  <w:style w:type="paragraph" w:styleId="CommentText">
    <w:name w:val="annotation text"/>
    <w:basedOn w:val="Normal"/>
    <w:link w:val="CommentTextChar"/>
    <w:unhideWhenUsed/>
    <w:rsid w:val="00AB7E91"/>
    <w:rPr>
      <w:szCs w:val="20"/>
    </w:rPr>
  </w:style>
  <w:style w:type="character" w:customStyle="1" w:styleId="CommentTextChar">
    <w:name w:val="Comment Text Char"/>
    <w:basedOn w:val="DefaultParagraphFont"/>
    <w:link w:val="CommentText"/>
    <w:rsid w:val="00AB7E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7E91"/>
    <w:rPr>
      <w:b/>
      <w:bCs/>
    </w:rPr>
  </w:style>
  <w:style w:type="character" w:customStyle="1" w:styleId="CommentSubjectChar">
    <w:name w:val="Comment Subject Char"/>
    <w:basedOn w:val="CommentTextChar"/>
    <w:link w:val="CommentSubject"/>
    <w:uiPriority w:val="99"/>
    <w:semiHidden/>
    <w:rsid w:val="00AB7E91"/>
    <w:rPr>
      <w:rFonts w:ascii="Arial" w:hAnsi="Arial"/>
      <w:b/>
      <w:bCs/>
      <w:lang w:eastAsia="en-US"/>
    </w:rPr>
  </w:style>
  <w:style w:type="character" w:styleId="UnresolvedMention">
    <w:name w:val="Unresolved Mention"/>
    <w:basedOn w:val="DefaultParagraphFont"/>
    <w:uiPriority w:val="99"/>
    <w:semiHidden/>
    <w:unhideWhenUsed/>
    <w:rsid w:val="008E1432"/>
    <w:rPr>
      <w:color w:val="605E5C"/>
      <w:shd w:val="clear" w:color="auto" w:fill="E1DFDD"/>
    </w:rPr>
  </w:style>
  <w:style w:type="paragraph" w:styleId="TOC2">
    <w:name w:val="toc 2"/>
    <w:basedOn w:val="Normal"/>
    <w:next w:val="Normal"/>
    <w:autoRedefine/>
    <w:uiPriority w:val="39"/>
    <w:unhideWhenUsed/>
    <w:rsid w:val="009A212A"/>
    <w:pPr>
      <w:spacing w:after="100"/>
      <w:ind w:left="200"/>
    </w:pPr>
  </w:style>
  <w:style w:type="paragraph" w:customStyle="1" w:styleId="Char2">
    <w:name w:val="Char2"/>
    <w:basedOn w:val="Normal"/>
    <w:link w:val="FootnoteReference"/>
    <w:uiPriority w:val="99"/>
    <w:rsid w:val="007E54F8"/>
    <w:pPr>
      <w:spacing w:after="160" w:line="240" w:lineRule="exact"/>
    </w:pPr>
    <w:rPr>
      <w:rFonts w:ascii="Calibri" w:hAnsi="Calibri"/>
      <w:szCs w:val="20"/>
      <w:vertAlign w:val="superscript"/>
      <w:lang w:eastAsia="hr-HR"/>
    </w:rPr>
  </w:style>
  <w:style w:type="paragraph" w:styleId="Revision">
    <w:name w:val="Revision"/>
    <w:hidden/>
    <w:uiPriority w:val="99"/>
    <w:semiHidden/>
    <w:rsid w:val="00C06A33"/>
    <w:rPr>
      <w:rFonts w:ascii="Arial" w:hAnsi="Arial"/>
      <w:szCs w:val="22"/>
      <w:lang w:eastAsia="en-US"/>
    </w:rPr>
  </w:style>
  <w:style w:type="character" w:styleId="FollowedHyperlink">
    <w:name w:val="FollowedHyperlink"/>
    <w:basedOn w:val="DefaultParagraphFont"/>
    <w:uiPriority w:val="99"/>
    <w:semiHidden/>
    <w:unhideWhenUsed/>
    <w:rsid w:val="001672DE"/>
    <w:rPr>
      <w:color w:val="954F72" w:themeColor="followedHyperlink"/>
      <w:u w:val="single"/>
    </w:rPr>
  </w:style>
  <w:style w:type="table" w:styleId="ListTable2-Accent1">
    <w:name w:val="List Table 2 Accent 1"/>
    <w:basedOn w:val="TableNormal"/>
    <w:uiPriority w:val="47"/>
    <w:rsid w:val="00DC4458"/>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C81BBE"/>
  </w:style>
  <w:style w:type="character" w:customStyle="1" w:styleId="eop">
    <w:name w:val="eop"/>
    <w:basedOn w:val="DefaultParagraphFont"/>
    <w:rsid w:val="00C81BBE"/>
  </w:style>
  <w:style w:type="character" w:styleId="Mention">
    <w:name w:val="Mention"/>
    <w:basedOn w:val="DefaultParagraphFont"/>
    <w:uiPriority w:val="99"/>
    <w:unhideWhenUsed/>
    <w:rsid w:val="00634235"/>
    <w:rPr>
      <w:color w:val="2B579A"/>
      <w:shd w:val="clear" w:color="auto" w:fill="E1DFDD"/>
    </w:rPr>
  </w:style>
  <w:style w:type="character" w:customStyle="1" w:styleId="wacimagecontainer">
    <w:name w:val="wacimagecontainer"/>
    <w:basedOn w:val="DefaultParagraphFont"/>
    <w:rsid w:val="005708A2"/>
  </w:style>
  <w:style w:type="paragraph" w:customStyle="1" w:styleId="paragraph">
    <w:name w:val="paragraph"/>
    <w:basedOn w:val="Normal"/>
    <w:rsid w:val="00516DF0"/>
    <w:pPr>
      <w:spacing w:before="100" w:beforeAutospacing="1" w:after="100" w:afterAutospacing="1"/>
    </w:pPr>
    <w:rPr>
      <w:rFonts w:ascii="Times New Roman" w:eastAsia="Times New Roman" w:hAnsi="Times New Roman"/>
      <w:sz w:val="24"/>
      <w:szCs w:val="24"/>
      <w:lang w:eastAsia="hr-HR"/>
    </w:rPr>
  </w:style>
  <w:style w:type="paragraph" w:styleId="PlainText">
    <w:name w:val="Plain Text"/>
    <w:basedOn w:val="Normal"/>
    <w:link w:val="PlainTextChar"/>
    <w:uiPriority w:val="99"/>
    <w:unhideWhenUsed/>
    <w:rsid w:val="00951579"/>
    <w:pPr>
      <w:spacing w:line="276" w:lineRule="auto"/>
      <w:jc w:val="both"/>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51579"/>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5576">
      <w:bodyDiv w:val="1"/>
      <w:marLeft w:val="0"/>
      <w:marRight w:val="0"/>
      <w:marTop w:val="0"/>
      <w:marBottom w:val="0"/>
      <w:divBdr>
        <w:top w:val="none" w:sz="0" w:space="0" w:color="auto"/>
        <w:left w:val="none" w:sz="0" w:space="0" w:color="auto"/>
        <w:bottom w:val="none" w:sz="0" w:space="0" w:color="auto"/>
        <w:right w:val="none" w:sz="0" w:space="0" w:color="auto"/>
      </w:divBdr>
    </w:div>
    <w:div w:id="682435166">
      <w:bodyDiv w:val="1"/>
      <w:marLeft w:val="0"/>
      <w:marRight w:val="0"/>
      <w:marTop w:val="0"/>
      <w:marBottom w:val="0"/>
      <w:divBdr>
        <w:top w:val="none" w:sz="0" w:space="0" w:color="auto"/>
        <w:left w:val="none" w:sz="0" w:space="0" w:color="auto"/>
        <w:bottom w:val="none" w:sz="0" w:space="0" w:color="auto"/>
        <w:right w:val="none" w:sz="0" w:space="0" w:color="auto"/>
      </w:divBdr>
    </w:div>
    <w:div w:id="9928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quity-origination@hbor.h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bor.hr/en/policy-for-investments-into-equity-and-quasi-equity" TargetMode="External"/><Relationship Id="rId2" Type="http://schemas.openxmlformats.org/officeDocument/2006/relationships/customXml" Target="../customXml/item2.xml"/><Relationship Id="rId16" Type="http://schemas.openxmlformats.org/officeDocument/2006/relationships/hyperlink" Target="https://www.hbor.hr/UserDocsImages/DIREKCIJA%20ULAGANJA/Op%C4%87i%20kriteriji%20prihvatljivosti%20(equity)_ENG.pdf?vel=2043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bor.hr/UserDocsImages/DIREKCIJA%20ULAGANJA/Op%C4%87i%20kriteriji%20prihvatljivosti%20(equity)_ENG.pdf?vel=204324" TargetMode="External"/><Relationship Id="rId10" Type="http://schemas.openxmlformats.org/officeDocument/2006/relationships/endnotes" Target="endnotes.xml"/><Relationship Id="rId19" Type="http://schemas.openxmlformats.org/officeDocument/2006/relationships/hyperlink" Target="http://www.hbor.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HTML/?uri=CELEX:32011L0061" TargetMode="External"/><Relationship Id="rId7" Type="http://schemas.openxmlformats.org/officeDocument/2006/relationships/hyperlink" Target="https://www.hbor.hr/policy-for-investments-into-equity-and-quasi-equity/653" TargetMode="External"/><Relationship Id="rId2" Type="http://schemas.openxmlformats.org/officeDocument/2006/relationships/hyperlink" Target="https://eur-lex.europa.eu/legal-content/EN/TXT/PDF/?uri=CELEX:32020R0852&amp;from=EN" TargetMode="External"/><Relationship Id="rId1" Type="http://schemas.openxmlformats.org/officeDocument/2006/relationships/hyperlink" Target="https://www.investeurope.eu/media/2784/invest-europe-research-methodology-and-definitions.xlsx" TargetMode="External"/><Relationship Id="rId6" Type="http://schemas.openxmlformats.org/officeDocument/2006/relationships/hyperlink" Target="https://eur-lex.europa.eu/eli/reg/2014/651/oj/eng" TargetMode="External"/><Relationship Id="rId5" Type="http://schemas.openxmlformats.org/officeDocument/2006/relationships/hyperlink" Target="https://www.hbor.hr/UserDocsImages/DIREKCIJA%20ULAGANJA/Op%C4%87i%20kriteriji%20prihvatljivosti%20(equity)_ENG.pdf?vel=204324" TargetMode="External"/><Relationship Id="rId4" Type="http://schemas.openxmlformats.org/officeDocument/2006/relationships/hyperlink" Target="https://www.investeurope.eu/media/2784/invest-europe-research-methodology-and-definitions.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0EEF32-4A76-4CC4-84AE-5987C91DEC46}">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B1DDACA9C9E74CB7BD9DD2663C57CF" ma:contentTypeVersion="14" ma:contentTypeDescription="Create a new document." ma:contentTypeScope="" ma:versionID="7c12bc62703e8279dd987258e2c8e71a">
  <xsd:schema xmlns:xsd="http://www.w3.org/2001/XMLSchema" xmlns:xs="http://www.w3.org/2001/XMLSchema" xmlns:p="http://schemas.microsoft.com/office/2006/metadata/properties" xmlns:ns2="d823d896-2f23-474e-894b-529399b808bc" targetNamespace="http://schemas.microsoft.com/office/2006/metadata/properties" ma:root="true" ma:fieldsID="d8627fa58a15fc025b79c4b44cb834d7" ns2:_="">
    <xsd:import namespace="d823d896-2f23-474e-894b-529399b80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d896-2f23-474e-894b-529399b80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5969C-DEE7-4A4D-9A37-9981398726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8EB33-4871-4F59-9EA8-5E6F5D783280}">
  <ds:schemaRefs>
    <ds:schemaRef ds:uri="http://schemas.microsoft.com/sharepoint/v3/contenttype/forms"/>
  </ds:schemaRefs>
</ds:datastoreItem>
</file>

<file path=customXml/itemProps3.xml><?xml version="1.0" encoding="utf-8"?>
<ds:datastoreItem xmlns:ds="http://schemas.openxmlformats.org/officeDocument/2006/customXml" ds:itemID="{0FB929E3-F022-4342-8E01-517E9BB66B2D}">
  <ds:schemaRefs>
    <ds:schemaRef ds:uri="http://schemas.openxmlformats.org/officeDocument/2006/bibliography"/>
  </ds:schemaRefs>
</ds:datastoreItem>
</file>

<file path=customXml/itemProps4.xml><?xml version="1.0" encoding="utf-8"?>
<ds:datastoreItem xmlns:ds="http://schemas.openxmlformats.org/officeDocument/2006/customXml" ds:itemID="{03C283CB-2D71-4011-9569-CCC4E5081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d896-2f23-474e-894b-529399b80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4140</Words>
  <Characters>23599</Characters>
  <Application>Microsoft Office Word</Application>
  <DocSecurity>0</DocSecurity>
  <Lines>196</Lines>
  <Paragraphs>55</Paragraphs>
  <ScaleCrop>false</ScaleCrop>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iva.sunjic</dc:creator>
  <cp:keywords/>
  <cp:lastModifiedBy>Plejić Morana</cp:lastModifiedBy>
  <cp:revision>6</cp:revision>
  <cp:lastPrinted>2026-05-15T11:11:00Z</cp:lastPrinted>
  <dcterms:created xsi:type="dcterms:W3CDTF">2026-05-26T09:18:00Z</dcterms:created>
  <dcterms:modified xsi:type="dcterms:W3CDTF">2026-05-26T11:06:00Z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0x010100E9B1DDACA9C9E74CB7BD9DD2663C57CF</vt:lpwstr>
  </property>
</Properties>
</file>